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2">
      <w:pPr>
        <w:pStyle w:val="Heading2"/>
        <w:keepNext w:val="1"/>
        <w:keepLines w:val="1"/>
        <w:ind w:right="119"/>
        <w:rPr/>
      </w:pPr>
      <w:r w:rsidDel="00000000" w:rsidR="00000000" w:rsidRPr="00000000">
        <w:rPr>
          <w:rtl w:val="0"/>
        </w:rPr>
        <w:t xml:space="preserve">RIGHT TO REFUSE DANGEROUS WORK</w:t>
      </w:r>
    </w:p>
    <w:p w:rsidR="00000000" w:rsidDel="00000000" w:rsidP="00000000" w:rsidRDefault="00000000" w:rsidRPr="00000000" w14:paraId="00000003">
      <w:pPr>
        <w:widowControl w:val="1"/>
        <w:ind w:right="119"/>
        <w:rPr/>
      </w:pPr>
      <w:r w:rsidDel="00000000" w:rsidR="00000000" w:rsidRPr="00000000">
        <w:rPr>
          <w:rtl w:val="0"/>
        </w:rPr>
      </w:r>
    </w:p>
    <w:p w:rsidR="00000000" w:rsidDel="00000000" w:rsidP="00000000" w:rsidRDefault="00000000" w:rsidRPr="00000000" w14:paraId="00000004">
      <w:pPr>
        <w:widowControl w:val="1"/>
        <w:rPr>
          <w:sz w:val="24"/>
          <w:szCs w:val="24"/>
        </w:rPr>
      </w:pPr>
      <w:r w:rsidDel="00000000" w:rsidR="00000000" w:rsidRPr="00000000">
        <w:rPr>
          <w:rtl w:val="0"/>
        </w:rPr>
        <w:t xml:space="preserve">[Organization Name] understands all workers have a right to a safe and healthy working environment. The purpose of this policy is to outline:</w:t>
      </w:r>
      <w:r w:rsidDel="00000000" w:rsidR="00000000" w:rsidRPr="00000000">
        <w:rPr>
          <w:rtl w:val="0"/>
        </w:rPr>
      </w:r>
    </w:p>
    <w:p w:rsidR="00000000" w:rsidDel="00000000" w:rsidP="00000000" w:rsidRDefault="00000000" w:rsidRPr="00000000" w14:paraId="00000005">
      <w:pPr>
        <w:widowControl w:val="1"/>
        <w:rPr>
          <w:sz w:val="24"/>
          <w:szCs w:val="24"/>
        </w:rPr>
      </w:pPr>
      <w:r w:rsidDel="00000000" w:rsidR="00000000" w:rsidRPr="00000000">
        <w:rPr>
          <w:rtl w:val="0"/>
        </w:rPr>
      </w:r>
    </w:p>
    <w:p w:rsidR="00000000" w:rsidDel="00000000" w:rsidP="00000000" w:rsidRDefault="00000000" w:rsidRPr="00000000" w14:paraId="00000006">
      <w:pPr>
        <w:widowControl w:val="1"/>
        <w:numPr>
          <w:ilvl w:val="0"/>
          <w:numId w:val="3"/>
        </w:numPr>
        <w:ind w:left="720" w:hanging="360"/>
        <w:rPr>
          <w:rFonts w:ascii="Calibri" w:cs="Calibri" w:eastAsia="Calibri" w:hAnsi="Calibri"/>
        </w:rPr>
      </w:pPr>
      <w:r w:rsidDel="00000000" w:rsidR="00000000" w:rsidRPr="00000000">
        <w:rPr>
          <w:rtl w:val="0"/>
        </w:rPr>
        <w:t xml:space="preserve">The right to refuse dangerous work under the </w:t>
      </w:r>
      <w:r w:rsidDel="00000000" w:rsidR="00000000" w:rsidRPr="00000000">
        <w:rPr>
          <w:i w:val="1"/>
          <w:rtl w:val="0"/>
        </w:rPr>
        <w:t xml:space="preserve">Canada Labour Code (Code)</w:t>
      </w:r>
      <w:r w:rsidDel="00000000" w:rsidR="00000000" w:rsidRPr="00000000">
        <w:rPr>
          <w:rtl w:val="0"/>
        </w:rPr>
      </w:r>
    </w:p>
    <w:p w:rsidR="00000000" w:rsidDel="00000000" w:rsidP="00000000" w:rsidRDefault="00000000" w:rsidRPr="00000000" w14:paraId="00000007">
      <w:pPr>
        <w:widowControl w:val="1"/>
        <w:numPr>
          <w:ilvl w:val="0"/>
          <w:numId w:val="3"/>
        </w:numPr>
        <w:ind w:left="720" w:hanging="360"/>
        <w:rPr>
          <w:rFonts w:ascii="Calibri" w:cs="Calibri" w:eastAsia="Calibri" w:hAnsi="Calibri"/>
        </w:rPr>
      </w:pPr>
      <w:r w:rsidDel="00000000" w:rsidR="00000000" w:rsidRPr="00000000">
        <w:rPr>
          <w:rtl w:val="0"/>
        </w:rPr>
        <w:t xml:space="preserve">Who has the right to refuse</w:t>
      </w:r>
    </w:p>
    <w:p w:rsidR="00000000" w:rsidDel="00000000" w:rsidP="00000000" w:rsidRDefault="00000000" w:rsidRPr="00000000" w14:paraId="00000008">
      <w:pPr>
        <w:widowControl w:val="1"/>
        <w:numPr>
          <w:ilvl w:val="0"/>
          <w:numId w:val="3"/>
        </w:numPr>
        <w:ind w:left="720" w:hanging="360"/>
        <w:rPr>
          <w:rFonts w:ascii="Calibri" w:cs="Calibri" w:eastAsia="Calibri" w:hAnsi="Calibri"/>
        </w:rPr>
      </w:pPr>
      <w:r w:rsidDel="00000000" w:rsidR="00000000" w:rsidRPr="00000000">
        <w:rPr>
          <w:rtl w:val="0"/>
        </w:rPr>
        <w:t xml:space="preserve">The procedure that must be followed in the event of a refusal to work</w:t>
      </w:r>
    </w:p>
    <w:p w:rsidR="00000000" w:rsidDel="00000000" w:rsidP="00000000" w:rsidRDefault="00000000" w:rsidRPr="00000000" w14:paraId="00000009">
      <w:pPr>
        <w:widowControl w:val="1"/>
        <w:rPr>
          <w:sz w:val="24"/>
          <w:szCs w:val="24"/>
        </w:rPr>
      </w:pPr>
      <w:r w:rsidDel="00000000" w:rsidR="00000000" w:rsidRPr="00000000">
        <w:rPr>
          <w:rtl w:val="0"/>
        </w:rPr>
      </w:r>
    </w:p>
    <w:p w:rsidR="00000000" w:rsidDel="00000000" w:rsidP="00000000" w:rsidRDefault="00000000" w:rsidRPr="00000000" w14:paraId="0000000A">
      <w:pPr>
        <w:widowControl w:val="1"/>
        <w:rPr>
          <w:sz w:val="24"/>
          <w:szCs w:val="24"/>
        </w:rPr>
      </w:pPr>
      <w:r w:rsidDel="00000000" w:rsidR="00000000" w:rsidRPr="00000000">
        <w:rPr>
          <w:sz w:val="28"/>
          <w:szCs w:val="28"/>
          <w:highlight w:val="white"/>
          <w:rtl w:val="0"/>
        </w:rPr>
        <w:t xml:space="preserve">DEFINITIONS</w:t>
      </w:r>
      <w:r w:rsidDel="00000000" w:rsidR="00000000" w:rsidRPr="00000000">
        <w:rPr>
          <w:rtl w:val="0"/>
        </w:rPr>
      </w:r>
    </w:p>
    <w:p w:rsidR="00000000" w:rsidDel="00000000" w:rsidP="00000000" w:rsidRDefault="00000000" w:rsidRPr="00000000" w14:paraId="0000000B">
      <w:pPr>
        <w:widowControl w:val="1"/>
        <w:rPr/>
      </w:pPr>
      <w:r w:rsidDel="00000000" w:rsidR="00000000" w:rsidRPr="00000000">
        <w:rPr>
          <w:rtl w:val="0"/>
        </w:rPr>
      </w:r>
    </w:p>
    <w:p w:rsidR="00000000" w:rsidDel="00000000" w:rsidP="00000000" w:rsidRDefault="00000000" w:rsidRPr="00000000" w14:paraId="0000000C">
      <w:pPr>
        <w:widowControl w:val="1"/>
        <w:rPr/>
      </w:pPr>
      <w:r w:rsidDel="00000000" w:rsidR="00000000" w:rsidRPr="00000000">
        <w:rPr>
          <w:highlight w:val="white"/>
          <w:rtl w:val="0"/>
        </w:rPr>
        <w:t xml:space="preserve">“Danger” within this policy means "any hazard, condition or activity that could reasonably be expected to be an imminent or serious threat to the life or health of a person exposed to it before the hazard or condition can be corrected or the activity altered” (Government of Canada).</w:t>
      </w:r>
      <w:r w:rsidDel="00000000" w:rsidR="00000000" w:rsidRPr="00000000">
        <w:rPr>
          <w:rtl w:val="0"/>
        </w:rPr>
      </w:r>
    </w:p>
    <w:p w:rsidR="00000000" w:rsidDel="00000000" w:rsidP="00000000" w:rsidRDefault="00000000" w:rsidRPr="00000000" w14:paraId="0000000D">
      <w:pPr>
        <w:widowControl w:val="1"/>
        <w:rPr/>
      </w:pPr>
      <w:r w:rsidDel="00000000" w:rsidR="00000000" w:rsidRPr="00000000">
        <w:rPr>
          <w:rtl w:val="0"/>
        </w:rPr>
      </w:r>
    </w:p>
    <w:p w:rsidR="00000000" w:rsidDel="00000000" w:rsidP="00000000" w:rsidRDefault="00000000" w:rsidRPr="00000000" w14:paraId="0000000E">
      <w:pPr>
        <w:widowControl w:val="1"/>
        <w:rPr>
          <w:sz w:val="24"/>
          <w:szCs w:val="24"/>
        </w:rPr>
      </w:pPr>
      <w:r w:rsidDel="00000000" w:rsidR="00000000" w:rsidRPr="00000000">
        <w:rPr>
          <w:sz w:val="28"/>
          <w:szCs w:val="28"/>
          <w:rtl w:val="0"/>
        </w:rPr>
        <w:t xml:space="preserve">POLICY</w:t>
      </w:r>
      <w:r w:rsidDel="00000000" w:rsidR="00000000" w:rsidRPr="00000000">
        <w:rPr>
          <w:rtl w:val="0"/>
        </w:rPr>
      </w:r>
    </w:p>
    <w:p w:rsidR="00000000" w:rsidDel="00000000" w:rsidP="00000000" w:rsidRDefault="00000000" w:rsidRPr="00000000" w14:paraId="0000000F">
      <w:pPr>
        <w:widowControl w:val="1"/>
        <w:rPr/>
      </w:pPr>
      <w:r w:rsidDel="00000000" w:rsidR="00000000" w:rsidRPr="00000000">
        <w:rPr>
          <w:rtl w:val="0"/>
        </w:rPr>
      </w:r>
    </w:p>
    <w:p w:rsidR="00000000" w:rsidDel="00000000" w:rsidP="00000000" w:rsidRDefault="00000000" w:rsidRPr="00000000" w14:paraId="00000010">
      <w:pPr>
        <w:widowControl w:val="1"/>
        <w:rPr/>
      </w:pPr>
      <w:r w:rsidDel="00000000" w:rsidR="00000000" w:rsidRPr="00000000">
        <w:rPr>
          <w:rtl w:val="0"/>
        </w:rPr>
        <w:t xml:space="preserve">[Organization Name] respects the legal right of employees to</w:t>
      </w:r>
      <w:r w:rsidDel="00000000" w:rsidR="00000000" w:rsidRPr="00000000">
        <w:rPr>
          <w:highlight w:val="white"/>
          <w:rtl w:val="0"/>
        </w:rPr>
        <w:t xml:space="preserve"> refuse dangerous work if they have reasonable cause to believe it presents a danger and as long as:</w:t>
      </w:r>
      <w:r w:rsidDel="00000000" w:rsidR="00000000" w:rsidRPr="00000000">
        <w:rPr>
          <w:rtl w:val="0"/>
        </w:rPr>
      </w:r>
    </w:p>
    <w:p w:rsidR="00000000" w:rsidDel="00000000" w:rsidP="00000000" w:rsidRDefault="00000000" w:rsidRPr="00000000" w14:paraId="00000011">
      <w:pPr>
        <w:widowControl w:val="1"/>
        <w:rPr/>
      </w:pPr>
      <w:r w:rsidDel="00000000" w:rsidR="00000000" w:rsidRPr="00000000">
        <w:rPr>
          <w:rtl w:val="0"/>
        </w:rPr>
      </w:r>
    </w:p>
    <w:p w:rsidR="00000000" w:rsidDel="00000000" w:rsidP="00000000" w:rsidRDefault="00000000" w:rsidRPr="00000000" w14:paraId="00000012">
      <w:pPr>
        <w:widowControl w:val="1"/>
        <w:numPr>
          <w:ilvl w:val="0"/>
          <w:numId w:val="4"/>
        </w:numPr>
        <w:ind w:left="720" w:hanging="360"/>
      </w:pPr>
      <w:r w:rsidDel="00000000" w:rsidR="00000000" w:rsidRPr="00000000">
        <w:rPr>
          <w:highlight w:val="white"/>
          <w:rtl w:val="0"/>
        </w:rPr>
        <w:t xml:space="preserve">the refusal to work will not put the life, health, or safety of another person directly in danger; or </w:t>
      </w:r>
      <w:r w:rsidDel="00000000" w:rsidR="00000000" w:rsidRPr="00000000">
        <w:rPr>
          <w:rtl w:val="0"/>
        </w:rPr>
      </w:r>
    </w:p>
    <w:p w:rsidR="00000000" w:rsidDel="00000000" w:rsidP="00000000" w:rsidRDefault="00000000" w:rsidRPr="00000000" w14:paraId="00000013">
      <w:pPr>
        <w:widowControl w:val="1"/>
        <w:numPr>
          <w:ilvl w:val="0"/>
          <w:numId w:val="4"/>
        </w:numPr>
        <w:ind w:left="720" w:hanging="360"/>
      </w:pPr>
      <w:r w:rsidDel="00000000" w:rsidR="00000000" w:rsidRPr="00000000">
        <w:rPr>
          <w:highlight w:val="white"/>
          <w:rtl w:val="0"/>
        </w:rPr>
        <w:t xml:space="preserve">the danger in question is not a normal condition of employment.  </w:t>
      </w:r>
      <w:r w:rsidDel="00000000" w:rsidR="00000000" w:rsidRPr="00000000">
        <w:rPr>
          <w:rtl w:val="0"/>
        </w:rPr>
      </w:r>
    </w:p>
    <w:p w:rsidR="00000000" w:rsidDel="00000000" w:rsidP="00000000" w:rsidRDefault="00000000" w:rsidRPr="00000000" w14:paraId="00000014">
      <w:pPr>
        <w:widowControl w:val="1"/>
        <w:rPr/>
      </w:pPr>
      <w:r w:rsidDel="00000000" w:rsidR="00000000" w:rsidRPr="00000000">
        <w:rPr>
          <w:rtl w:val="0"/>
        </w:rPr>
      </w:r>
    </w:p>
    <w:p w:rsidR="00000000" w:rsidDel="00000000" w:rsidP="00000000" w:rsidRDefault="00000000" w:rsidRPr="00000000" w14:paraId="00000015">
      <w:pPr>
        <w:widowControl w:val="1"/>
        <w:rPr/>
      </w:pPr>
      <w:r w:rsidDel="00000000" w:rsidR="00000000" w:rsidRPr="00000000">
        <w:rPr>
          <w:highlight w:val="white"/>
          <w:rtl w:val="0"/>
        </w:rPr>
        <w:t xml:space="preserve">The Code lays out that employees may refuse:</w:t>
      </w:r>
      <w:r w:rsidDel="00000000" w:rsidR="00000000" w:rsidRPr="00000000">
        <w:rPr>
          <w:rtl w:val="0"/>
        </w:rPr>
      </w:r>
    </w:p>
    <w:p w:rsidR="00000000" w:rsidDel="00000000" w:rsidP="00000000" w:rsidRDefault="00000000" w:rsidRPr="00000000" w14:paraId="00000016">
      <w:pPr>
        <w:widowControl w:val="1"/>
        <w:rPr/>
      </w:pPr>
      <w:r w:rsidDel="00000000" w:rsidR="00000000" w:rsidRPr="00000000">
        <w:rPr>
          <w:rtl w:val="0"/>
        </w:rPr>
      </w:r>
    </w:p>
    <w:p w:rsidR="00000000" w:rsidDel="00000000" w:rsidP="00000000" w:rsidRDefault="00000000" w:rsidRPr="00000000" w14:paraId="00000017">
      <w:pPr>
        <w:widowControl w:val="1"/>
        <w:numPr>
          <w:ilvl w:val="0"/>
          <w:numId w:val="2"/>
        </w:numPr>
        <w:shd w:fill="ffffff" w:val="clear"/>
        <w:ind w:left="720" w:hanging="360"/>
        <w:rPr>
          <w:rFonts w:ascii="Calibri" w:cs="Calibri" w:eastAsia="Calibri" w:hAnsi="Calibri"/>
        </w:rPr>
      </w:pPr>
      <w:r w:rsidDel="00000000" w:rsidR="00000000" w:rsidRPr="00000000">
        <w:rPr>
          <w:highlight w:val="white"/>
          <w:rtl w:val="0"/>
        </w:rPr>
        <w:t xml:space="preserve">to use or operate a machine that constitutes a danger to the employee or to another employee,</w:t>
      </w:r>
      <w:r w:rsidDel="00000000" w:rsidR="00000000" w:rsidRPr="00000000">
        <w:rPr>
          <w:rtl w:val="0"/>
        </w:rPr>
      </w:r>
    </w:p>
    <w:p w:rsidR="00000000" w:rsidDel="00000000" w:rsidP="00000000" w:rsidRDefault="00000000" w:rsidRPr="00000000" w14:paraId="00000018">
      <w:pPr>
        <w:widowControl w:val="1"/>
        <w:numPr>
          <w:ilvl w:val="0"/>
          <w:numId w:val="2"/>
        </w:numPr>
        <w:shd w:fill="ffffff" w:val="clear"/>
        <w:ind w:left="720" w:hanging="360"/>
        <w:rPr>
          <w:rFonts w:ascii="Calibri" w:cs="Calibri" w:eastAsia="Calibri" w:hAnsi="Calibri"/>
        </w:rPr>
      </w:pPr>
      <w:r w:rsidDel="00000000" w:rsidR="00000000" w:rsidRPr="00000000">
        <w:rPr>
          <w:highlight w:val="white"/>
          <w:rtl w:val="0"/>
        </w:rPr>
        <w:t xml:space="preserve">to work in a place,</w:t>
      </w:r>
      <w:r w:rsidDel="00000000" w:rsidR="00000000" w:rsidRPr="00000000">
        <w:rPr>
          <w:rtl w:val="0"/>
        </w:rPr>
        <w:t xml:space="preserve"> or </w:t>
      </w:r>
      <w:r w:rsidDel="00000000" w:rsidR="00000000" w:rsidRPr="00000000">
        <w:rPr>
          <w:highlight w:val="white"/>
          <w:rtl w:val="0"/>
        </w:rPr>
        <w:t xml:space="preserve">to perform an activity that constitutes a danger to the employee or to another employee.</w:t>
      </w:r>
      <w:r w:rsidDel="00000000" w:rsidR="00000000" w:rsidRPr="00000000">
        <w:rPr>
          <w:rtl w:val="0"/>
        </w:rPr>
      </w:r>
    </w:p>
    <w:p w:rsidR="00000000" w:rsidDel="00000000" w:rsidP="00000000" w:rsidRDefault="00000000" w:rsidRPr="00000000" w14:paraId="00000019">
      <w:pPr>
        <w:widowControl w:val="1"/>
        <w:rPr>
          <w:highlight w:val="white"/>
        </w:rPr>
      </w:pPr>
      <w:r w:rsidDel="00000000" w:rsidR="00000000" w:rsidRPr="00000000">
        <w:rPr>
          <w:rtl w:val="0"/>
        </w:rPr>
      </w:r>
    </w:p>
    <w:p w:rsidR="00000000" w:rsidDel="00000000" w:rsidP="00000000" w:rsidRDefault="00000000" w:rsidRPr="00000000" w14:paraId="0000001A">
      <w:pPr>
        <w:widowControl w:val="1"/>
        <w:rPr/>
      </w:pPr>
      <w:r w:rsidDel="00000000" w:rsidR="00000000" w:rsidRPr="00000000">
        <w:rPr>
          <w:highlight w:val="white"/>
          <w:rtl w:val="0"/>
        </w:rPr>
        <w:t xml:space="preserve">When an employee wishes to exercise their right to refuse dangerous work, they must follow the procedure set out in the </w:t>
      </w:r>
      <w:r w:rsidDel="00000000" w:rsidR="00000000" w:rsidRPr="00000000">
        <w:rPr>
          <w:i w:val="1"/>
          <w:highlight w:val="white"/>
          <w:rtl w:val="0"/>
        </w:rPr>
        <w:t xml:space="preserve">Canada Labour Code</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1B">
      <w:pPr>
        <w:widowControl w:val="1"/>
        <w:rPr/>
      </w:pPr>
      <w:r w:rsidDel="00000000" w:rsidR="00000000" w:rsidRPr="00000000">
        <w:rPr>
          <w:rtl w:val="0"/>
        </w:rPr>
      </w:r>
    </w:p>
    <w:p w:rsidR="00000000" w:rsidDel="00000000" w:rsidP="00000000" w:rsidRDefault="00000000" w:rsidRPr="00000000" w14:paraId="0000001C">
      <w:pPr>
        <w:widowControl w:val="1"/>
        <w:rPr/>
      </w:pPr>
      <w:r w:rsidDel="00000000" w:rsidR="00000000" w:rsidRPr="00000000">
        <w:rPr>
          <w:highlight w:val="white"/>
          <w:rtl w:val="0"/>
        </w:rPr>
        <w:t xml:space="preserve">There will be no negative consequence for employees who exercise their right to refuse in good faith and who adhere to the processes set out by law and in this policy.</w:t>
      </w:r>
      <w:r w:rsidDel="00000000" w:rsidR="00000000" w:rsidRPr="00000000">
        <w:rPr>
          <w:rtl w:val="0"/>
        </w:rPr>
      </w:r>
    </w:p>
    <w:p w:rsidR="00000000" w:rsidDel="00000000" w:rsidP="00000000" w:rsidRDefault="00000000" w:rsidRPr="00000000" w14:paraId="0000001D">
      <w:pPr>
        <w:widowControl w:val="1"/>
        <w:rPr/>
      </w:pPr>
      <w:r w:rsidDel="00000000" w:rsidR="00000000" w:rsidRPr="00000000">
        <w:rPr>
          <w:rtl w:val="0"/>
        </w:rPr>
      </w:r>
    </w:p>
    <w:p w:rsidR="00000000" w:rsidDel="00000000" w:rsidP="00000000" w:rsidRDefault="00000000" w:rsidRPr="00000000" w14:paraId="0000001E">
      <w:pPr>
        <w:widowControl w:val="1"/>
        <w:rPr>
          <w:highlight w:val="white"/>
        </w:rPr>
      </w:pPr>
      <w:r w:rsidDel="00000000" w:rsidR="00000000" w:rsidRPr="00000000">
        <w:rPr>
          <w:highlight w:val="white"/>
          <w:rtl w:val="0"/>
        </w:rPr>
        <w:t xml:space="preserve">An employee who exercises their right to refuse dangerous work will continue to collect wages and benefits as if they were at work until the end of the scheduled work period, or until work resumes, whichever comes first.</w:t>
      </w:r>
    </w:p>
    <w:p w:rsidR="00000000" w:rsidDel="00000000" w:rsidP="00000000" w:rsidRDefault="00000000" w:rsidRPr="00000000" w14:paraId="0000001F">
      <w:pPr>
        <w:widowControl w:val="1"/>
        <w:rPr>
          <w:highlight w:val="white"/>
        </w:rPr>
      </w:pPr>
      <w:r w:rsidDel="00000000" w:rsidR="00000000" w:rsidRPr="00000000">
        <w:rPr>
          <w:rtl w:val="0"/>
        </w:rPr>
      </w:r>
    </w:p>
    <w:p w:rsidR="00000000" w:rsidDel="00000000" w:rsidP="00000000" w:rsidRDefault="00000000" w:rsidRPr="00000000" w14:paraId="00000020">
      <w:pPr>
        <w:widowControl w:val="1"/>
        <w:rPr/>
      </w:pPr>
      <w:r w:rsidDel="00000000" w:rsidR="00000000" w:rsidRPr="00000000">
        <w:rPr>
          <w:highlight w:val="white"/>
          <w:rtl w:val="0"/>
        </w:rPr>
        <w:t xml:space="preserve">[Organization Name] will not ask another employee to perform work another employee has refused to do until the matter has been fully investigated internally and referred to the Ministry of Labour.</w:t>
      </w:r>
      <w:r w:rsidDel="00000000" w:rsidR="00000000" w:rsidRPr="00000000">
        <w:rPr>
          <w:rtl w:val="0"/>
        </w:rPr>
      </w:r>
    </w:p>
    <w:p w:rsidR="00000000" w:rsidDel="00000000" w:rsidP="00000000" w:rsidRDefault="00000000" w:rsidRPr="00000000" w14:paraId="00000021">
      <w:pPr>
        <w:widowControl w:val="1"/>
        <w:rPr/>
      </w:pPr>
      <w:r w:rsidDel="00000000" w:rsidR="00000000" w:rsidRPr="00000000">
        <w:rPr>
          <w:rtl w:val="0"/>
        </w:rPr>
      </w:r>
    </w:p>
    <w:p w:rsidR="00000000" w:rsidDel="00000000" w:rsidP="00000000" w:rsidRDefault="00000000" w:rsidRPr="00000000" w14:paraId="00000022">
      <w:pPr>
        <w:widowControl w:val="1"/>
        <w:rPr>
          <w:sz w:val="24"/>
          <w:szCs w:val="24"/>
        </w:rPr>
      </w:pPr>
      <w:r w:rsidDel="00000000" w:rsidR="00000000" w:rsidRPr="00000000">
        <w:rPr>
          <w:sz w:val="28"/>
          <w:szCs w:val="28"/>
          <w:rtl w:val="0"/>
        </w:rPr>
        <w:t xml:space="preserve">WORK REFUSAL PROCESS</w:t>
      </w:r>
      <w:r w:rsidDel="00000000" w:rsidR="00000000" w:rsidRPr="00000000">
        <w:rPr>
          <w:rtl w:val="0"/>
        </w:rPr>
      </w:r>
    </w:p>
    <w:p w:rsidR="00000000" w:rsidDel="00000000" w:rsidP="00000000" w:rsidRDefault="00000000" w:rsidRPr="00000000" w14:paraId="00000023">
      <w:pPr>
        <w:widowControl w:val="1"/>
        <w:rPr/>
      </w:pPr>
      <w:r w:rsidDel="00000000" w:rsidR="00000000" w:rsidRPr="00000000">
        <w:rPr>
          <w:rtl w:val="0"/>
        </w:rPr>
      </w:r>
    </w:p>
    <w:p w:rsidR="00000000" w:rsidDel="00000000" w:rsidP="00000000" w:rsidRDefault="00000000" w:rsidRPr="00000000" w14:paraId="00000024">
      <w:pPr>
        <w:widowControl w:val="1"/>
        <w:rPr/>
      </w:pPr>
      <w:r w:rsidDel="00000000" w:rsidR="00000000" w:rsidRPr="00000000">
        <w:rPr>
          <w:rtl w:val="0"/>
        </w:rPr>
        <w:t xml:space="preserve">The following process has been sourced directly from the Government of Canada and must be followed when an employee exercises their right to refuse dangerous work.</w:t>
      </w:r>
    </w:p>
    <w:p w:rsidR="00000000" w:rsidDel="00000000" w:rsidP="00000000" w:rsidRDefault="00000000" w:rsidRPr="00000000" w14:paraId="00000025">
      <w:pPr>
        <w:widowControl w:val="1"/>
        <w:rPr/>
      </w:pPr>
      <w:r w:rsidDel="00000000" w:rsidR="00000000" w:rsidRPr="00000000">
        <w:rPr>
          <w:rtl w:val="0"/>
        </w:rPr>
      </w:r>
    </w:p>
    <w:p w:rsidR="00000000" w:rsidDel="00000000" w:rsidP="00000000" w:rsidRDefault="00000000" w:rsidRPr="00000000" w14:paraId="00000026">
      <w:pPr>
        <w:widowControl w:val="1"/>
        <w:rPr/>
      </w:pPr>
      <w:r w:rsidDel="00000000" w:rsidR="00000000" w:rsidRPr="00000000">
        <w:rPr>
          <w:u w:val="single"/>
          <w:rtl w:val="0"/>
        </w:rPr>
        <w:t xml:space="preserve">Refusal of Dangerous Work</w:t>
      </w:r>
      <w:r w:rsidDel="00000000" w:rsidR="00000000" w:rsidRPr="00000000">
        <w:rPr>
          <w:rtl w:val="0"/>
        </w:rPr>
        <w:t xml:space="preserve">:</w:t>
      </w:r>
    </w:p>
    <w:p w:rsidR="00000000" w:rsidDel="00000000" w:rsidP="00000000" w:rsidRDefault="00000000" w:rsidRPr="00000000" w14:paraId="00000027">
      <w:pPr>
        <w:widowControl w:val="1"/>
        <w:rPr/>
      </w:pPr>
      <w:r w:rsidDel="00000000" w:rsidR="00000000" w:rsidRPr="00000000">
        <w:rPr>
          <w:rtl w:val="0"/>
        </w:rPr>
      </w:r>
    </w:p>
    <w:p w:rsidR="00000000" w:rsidDel="00000000" w:rsidP="00000000" w:rsidRDefault="00000000" w:rsidRPr="00000000" w14:paraId="00000028">
      <w:pPr>
        <w:widowControl w:val="1"/>
        <w:numPr>
          <w:ilvl w:val="0"/>
          <w:numId w:val="5"/>
        </w:numPr>
        <w:ind w:left="720" w:hanging="360"/>
        <w:rPr>
          <w:rFonts w:ascii="Calibri" w:cs="Calibri" w:eastAsia="Calibri" w:hAnsi="Calibri"/>
        </w:rPr>
      </w:pPr>
      <w:r w:rsidDel="00000000" w:rsidR="00000000" w:rsidRPr="00000000">
        <w:rPr>
          <w:highlight w:val="white"/>
          <w:rtl w:val="0"/>
        </w:rPr>
        <w:t xml:space="preserve">The refusal process begins with the worker reporting the dangerous situation to their employer. This should be done immediately. If more than one employee reports the danger, they may choose one worker to represent them during the investigation</w:t>
      </w:r>
      <w:r w:rsidDel="00000000" w:rsidR="00000000" w:rsidRPr="00000000">
        <w:rPr>
          <w:rtl w:val="0"/>
        </w:rPr>
      </w:r>
    </w:p>
    <w:p w:rsidR="00000000" w:rsidDel="00000000" w:rsidP="00000000" w:rsidRDefault="00000000" w:rsidRPr="00000000" w14:paraId="00000029">
      <w:pPr>
        <w:widowControl w:val="1"/>
        <w:numPr>
          <w:ilvl w:val="0"/>
          <w:numId w:val="5"/>
        </w:numPr>
        <w:ind w:left="720" w:hanging="360"/>
        <w:rPr>
          <w:rFonts w:ascii="Calibri" w:cs="Calibri" w:eastAsia="Calibri" w:hAnsi="Calibri"/>
        </w:rPr>
      </w:pPr>
      <w:r w:rsidDel="00000000" w:rsidR="00000000" w:rsidRPr="00000000">
        <w:rPr>
          <w:highlight w:val="white"/>
          <w:rtl w:val="0"/>
        </w:rPr>
        <w:t xml:space="preserve">The employee or employees must also state if they will pursue the matter under the Code or Collective Agreement. This decision cannot be changed unless both parties agree. If the matter is being investigated via the collective agreement, the Minister will not get involved.</w:t>
      </w:r>
      <w:r w:rsidDel="00000000" w:rsidR="00000000" w:rsidRPr="00000000">
        <w:rPr>
          <w:rtl w:val="0"/>
        </w:rPr>
      </w:r>
    </w:p>
    <w:p w:rsidR="00000000" w:rsidDel="00000000" w:rsidP="00000000" w:rsidRDefault="00000000" w:rsidRPr="00000000" w14:paraId="0000002A">
      <w:pPr>
        <w:widowControl w:val="1"/>
        <w:rPr/>
      </w:pPr>
      <w:r w:rsidDel="00000000" w:rsidR="00000000" w:rsidRPr="00000000">
        <w:rPr>
          <w:rtl w:val="0"/>
        </w:rPr>
      </w:r>
    </w:p>
    <w:p w:rsidR="00000000" w:rsidDel="00000000" w:rsidP="00000000" w:rsidRDefault="00000000" w:rsidRPr="00000000" w14:paraId="0000002B">
      <w:pPr>
        <w:widowControl w:val="1"/>
        <w:rPr/>
      </w:pPr>
      <w:r w:rsidDel="00000000" w:rsidR="00000000" w:rsidRPr="00000000">
        <w:rPr>
          <w:u w:val="single"/>
          <w:rtl w:val="0"/>
        </w:rPr>
        <w:t xml:space="preserve">Investigation by Employer:</w:t>
      </w:r>
      <w:r w:rsidDel="00000000" w:rsidR="00000000" w:rsidRPr="00000000">
        <w:rPr>
          <w:rtl w:val="0"/>
        </w:rPr>
      </w:r>
    </w:p>
    <w:p w:rsidR="00000000" w:rsidDel="00000000" w:rsidP="00000000" w:rsidRDefault="00000000" w:rsidRPr="00000000" w14:paraId="0000002C">
      <w:pPr>
        <w:widowControl w:val="1"/>
        <w:rPr/>
      </w:pPr>
      <w:r w:rsidDel="00000000" w:rsidR="00000000" w:rsidRPr="00000000">
        <w:rPr>
          <w:rtl w:val="0"/>
        </w:rPr>
      </w:r>
    </w:p>
    <w:p w:rsidR="00000000" w:rsidDel="00000000" w:rsidP="00000000" w:rsidRDefault="00000000" w:rsidRPr="00000000" w14:paraId="0000002D">
      <w:pPr>
        <w:widowControl w:val="1"/>
        <w:numPr>
          <w:ilvl w:val="0"/>
          <w:numId w:val="9"/>
        </w:numPr>
        <w:ind w:left="720" w:hanging="360"/>
        <w:rPr>
          <w:rFonts w:ascii="Calibri" w:cs="Calibri" w:eastAsia="Calibri" w:hAnsi="Calibri"/>
        </w:rPr>
      </w:pPr>
      <w:r w:rsidDel="00000000" w:rsidR="00000000" w:rsidRPr="00000000">
        <w:rPr>
          <w:highlight w:val="white"/>
          <w:rtl w:val="0"/>
        </w:rPr>
        <w:t xml:space="preserve">[Organization Name] will investigate the situation in the presence of the employee right away</w:t>
      </w:r>
      <w:r w:rsidDel="00000000" w:rsidR="00000000" w:rsidRPr="00000000">
        <w:rPr>
          <w:rtl w:val="0"/>
        </w:rPr>
      </w:r>
    </w:p>
    <w:p w:rsidR="00000000" w:rsidDel="00000000" w:rsidP="00000000" w:rsidRDefault="00000000" w:rsidRPr="00000000" w14:paraId="0000002E">
      <w:pPr>
        <w:widowControl w:val="1"/>
        <w:numPr>
          <w:ilvl w:val="1"/>
          <w:numId w:val="9"/>
        </w:numPr>
        <w:ind w:left="1440" w:hanging="360"/>
        <w:rPr>
          <w:rFonts w:ascii="Calibri" w:cs="Calibri" w:eastAsia="Calibri" w:hAnsi="Calibri"/>
        </w:rPr>
      </w:pPr>
      <w:r w:rsidDel="00000000" w:rsidR="00000000" w:rsidRPr="00000000">
        <w:rPr>
          <w:highlight w:val="white"/>
          <w:rtl w:val="0"/>
        </w:rPr>
        <w:t xml:space="preserve">This will occur even if the employee or representative decides not to be present</w:t>
      </w:r>
      <w:r w:rsidDel="00000000" w:rsidR="00000000" w:rsidRPr="00000000">
        <w:rPr>
          <w:rtl w:val="0"/>
        </w:rPr>
      </w:r>
    </w:p>
    <w:p w:rsidR="00000000" w:rsidDel="00000000" w:rsidP="00000000" w:rsidRDefault="00000000" w:rsidRPr="00000000" w14:paraId="0000002F">
      <w:pPr>
        <w:widowControl w:val="1"/>
        <w:numPr>
          <w:ilvl w:val="0"/>
          <w:numId w:val="9"/>
        </w:numPr>
        <w:ind w:left="720" w:hanging="360"/>
        <w:rPr>
          <w:rFonts w:ascii="Calibri" w:cs="Calibri" w:eastAsia="Calibri" w:hAnsi="Calibri"/>
        </w:rPr>
      </w:pPr>
      <w:r w:rsidDel="00000000" w:rsidR="00000000" w:rsidRPr="00000000">
        <w:rPr>
          <w:highlight w:val="white"/>
          <w:rtl w:val="0"/>
        </w:rPr>
        <w:t xml:space="preserve">The employer will prepare a written report containing the results of the investigation</w:t>
      </w:r>
      <w:r w:rsidDel="00000000" w:rsidR="00000000" w:rsidRPr="00000000">
        <w:rPr>
          <w:rtl w:val="0"/>
        </w:rPr>
      </w:r>
    </w:p>
    <w:p w:rsidR="00000000" w:rsidDel="00000000" w:rsidP="00000000" w:rsidRDefault="00000000" w:rsidRPr="00000000" w14:paraId="00000030">
      <w:pPr>
        <w:widowControl w:val="1"/>
        <w:numPr>
          <w:ilvl w:val="0"/>
          <w:numId w:val="9"/>
        </w:numPr>
        <w:ind w:left="720" w:hanging="360"/>
        <w:rPr>
          <w:rFonts w:ascii="Calibri" w:cs="Calibri" w:eastAsia="Calibri" w:hAnsi="Calibri"/>
        </w:rPr>
      </w:pPr>
      <w:r w:rsidDel="00000000" w:rsidR="00000000" w:rsidRPr="00000000">
        <w:rPr>
          <w:highlight w:val="white"/>
          <w:rtl w:val="0"/>
        </w:rPr>
        <w:t xml:space="preserve">If the employer agrees danger is present, they will:</w:t>
      </w:r>
      <w:r w:rsidDel="00000000" w:rsidR="00000000" w:rsidRPr="00000000">
        <w:rPr>
          <w:rtl w:val="0"/>
        </w:rPr>
      </w:r>
    </w:p>
    <w:p w:rsidR="00000000" w:rsidDel="00000000" w:rsidP="00000000" w:rsidRDefault="00000000" w:rsidRPr="00000000" w14:paraId="00000031">
      <w:pPr>
        <w:widowControl w:val="1"/>
        <w:numPr>
          <w:ilvl w:val="1"/>
          <w:numId w:val="9"/>
        </w:numPr>
        <w:ind w:left="1440" w:hanging="360"/>
        <w:rPr>
          <w:rFonts w:ascii="Calibri" w:cs="Calibri" w:eastAsia="Calibri" w:hAnsi="Calibri"/>
        </w:rPr>
      </w:pPr>
      <w:r w:rsidDel="00000000" w:rsidR="00000000" w:rsidRPr="00000000">
        <w:rPr>
          <w:highlight w:val="white"/>
          <w:rtl w:val="0"/>
        </w:rPr>
        <w:t xml:space="preserve">Take immediate action to protect employees</w:t>
      </w:r>
      <w:r w:rsidDel="00000000" w:rsidR="00000000" w:rsidRPr="00000000">
        <w:rPr>
          <w:rtl w:val="0"/>
        </w:rPr>
      </w:r>
    </w:p>
    <w:p w:rsidR="00000000" w:rsidDel="00000000" w:rsidP="00000000" w:rsidRDefault="00000000" w:rsidRPr="00000000" w14:paraId="00000032">
      <w:pPr>
        <w:widowControl w:val="1"/>
        <w:numPr>
          <w:ilvl w:val="1"/>
          <w:numId w:val="9"/>
        </w:numPr>
        <w:ind w:left="1440" w:hanging="360"/>
        <w:rPr>
          <w:rFonts w:ascii="Calibri" w:cs="Calibri" w:eastAsia="Calibri" w:hAnsi="Calibri"/>
        </w:rPr>
      </w:pPr>
      <w:r w:rsidDel="00000000" w:rsidR="00000000" w:rsidRPr="00000000">
        <w:rPr>
          <w:highlight w:val="white"/>
          <w:rtl w:val="0"/>
        </w:rPr>
        <w:t xml:space="preserve">Notify the work place committee of the issue and the action(s) taken to resolve the issue(s)</w:t>
      </w:r>
      <w:r w:rsidDel="00000000" w:rsidR="00000000" w:rsidRPr="00000000">
        <w:rPr>
          <w:rtl w:val="0"/>
        </w:rPr>
      </w:r>
    </w:p>
    <w:p w:rsidR="00000000" w:rsidDel="00000000" w:rsidP="00000000" w:rsidRDefault="00000000" w:rsidRPr="00000000" w14:paraId="00000033">
      <w:pPr>
        <w:widowControl w:val="1"/>
        <w:rPr>
          <w:highlight w:val="white"/>
          <w:u w:val="single"/>
        </w:rPr>
      </w:pPr>
      <w:r w:rsidDel="00000000" w:rsidR="00000000" w:rsidRPr="00000000">
        <w:rPr>
          <w:rtl w:val="0"/>
        </w:rPr>
      </w:r>
    </w:p>
    <w:p w:rsidR="00000000" w:rsidDel="00000000" w:rsidP="00000000" w:rsidRDefault="00000000" w:rsidRPr="00000000" w14:paraId="00000034">
      <w:pPr>
        <w:widowControl w:val="1"/>
        <w:rPr/>
      </w:pPr>
      <w:r w:rsidDel="00000000" w:rsidR="00000000" w:rsidRPr="00000000">
        <w:rPr>
          <w:highlight w:val="white"/>
          <w:u w:val="single"/>
          <w:rtl w:val="0"/>
        </w:rPr>
        <w:t xml:space="preserve">Continued Refusal to Work</w:t>
      </w:r>
      <w:r w:rsidDel="00000000" w:rsidR="00000000" w:rsidRPr="00000000">
        <w:rPr>
          <w:rtl w:val="0"/>
        </w:rPr>
      </w:r>
    </w:p>
    <w:p w:rsidR="00000000" w:rsidDel="00000000" w:rsidP="00000000" w:rsidRDefault="00000000" w:rsidRPr="00000000" w14:paraId="00000035">
      <w:pPr>
        <w:widowControl w:val="1"/>
        <w:rPr/>
      </w:pPr>
      <w:r w:rsidDel="00000000" w:rsidR="00000000" w:rsidRPr="00000000">
        <w:rPr>
          <w:rtl w:val="0"/>
        </w:rPr>
      </w:r>
    </w:p>
    <w:p w:rsidR="00000000" w:rsidDel="00000000" w:rsidP="00000000" w:rsidRDefault="00000000" w:rsidRPr="00000000" w14:paraId="00000036">
      <w:pPr>
        <w:widowControl w:val="1"/>
        <w:numPr>
          <w:ilvl w:val="0"/>
          <w:numId w:val="7"/>
        </w:numPr>
        <w:ind w:left="720" w:hanging="360"/>
        <w:rPr>
          <w:rFonts w:ascii="Calibri" w:cs="Calibri" w:eastAsia="Calibri" w:hAnsi="Calibri"/>
        </w:rPr>
      </w:pPr>
      <w:r w:rsidDel="00000000" w:rsidR="00000000" w:rsidRPr="00000000">
        <w:rPr>
          <w:highlight w:val="white"/>
          <w:rtl w:val="0"/>
        </w:rPr>
        <w:t xml:space="preserve">An employee may continue to refuse to work if they do not agree with the employer’s investigation by reporting their continued refusal to the work place committee</w:t>
      </w:r>
      <w:r w:rsidDel="00000000" w:rsidR="00000000" w:rsidRPr="00000000">
        <w:rPr>
          <w:rtl w:val="0"/>
        </w:rPr>
      </w:r>
    </w:p>
    <w:p w:rsidR="00000000" w:rsidDel="00000000" w:rsidP="00000000" w:rsidRDefault="00000000" w:rsidRPr="00000000" w14:paraId="00000037">
      <w:pPr>
        <w:widowControl w:val="1"/>
        <w:numPr>
          <w:ilvl w:val="0"/>
          <w:numId w:val="7"/>
        </w:numPr>
        <w:ind w:left="720" w:hanging="360"/>
        <w:rPr>
          <w:rFonts w:ascii="Calibri" w:cs="Calibri" w:eastAsia="Calibri" w:hAnsi="Calibri"/>
        </w:rPr>
      </w:pPr>
      <w:r w:rsidDel="00000000" w:rsidR="00000000" w:rsidRPr="00000000">
        <w:rPr>
          <w:highlight w:val="white"/>
          <w:rtl w:val="0"/>
        </w:rPr>
        <w:t xml:space="preserve">The committee will then investigate an investigation with the worker present</w:t>
      </w:r>
      <w:r w:rsidDel="00000000" w:rsidR="00000000" w:rsidRPr="00000000">
        <w:rPr>
          <w:rtl w:val="0"/>
        </w:rPr>
      </w:r>
    </w:p>
    <w:p w:rsidR="00000000" w:rsidDel="00000000" w:rsidP="00000000" w:rsidRDefault="00000000" w:rsidRPr="00000000" w14:paraId="00000038">
      <w:pPr>
        <w:widowControl w:val="1"/>
        <w:numPr>
          <w:ilvl w:val="0"/>
          <w:numId w:val="7"/>
        </w:numPr>
        <w:ind w:left="720" w:hanging="360"/>
        <w:rPr>
          <w:rFonts w:ascii="Calibri" w:cs="Calibri" w:eastAsia="Calibri" w:hAnsi="Calibri"/>
        </w:rPr>
      </w:pPr>
      <w:r w:rsidDel="00000000" w:rsidR="00000000" w:rsidRPr="00000000">
        <w:rPr>
          <w:highlight w:val="white"/>
          <w:rtl w:val="0"/>
        </w:rPr>
        <w:t xml:space="preserve">At the end of their investigation the workplace committee will immediately provide a written report to the employer which outlines:</w:t>
      </w:r>
      <w:r w:rsidDel="00000000" w:rsidR="00000000" w:rsidRPr="00000000">
        <w:rPr>
          <w:rtl w:val="0"/>
        </w:rPr>
      </w:r>
    </w:p>
    <w:p w:rsidR="00000000" w:rsidDel="00000000" w:rsidP="00000000" w:rsidRDefault="00000000" w:rsidRPr="00000000" w14:paraId="00000039">
      <w:pPr>
        <w:widowControl w:val="1"/>
        <w:numPr>
          <w:ilvl w:val="1"/>
          <w:numId w:val="7"/>
        </w:numPr>
        <w:ind w:left="1440" w:hanging="360"/>
        <w:rPr>
          <w:rFonts w:ascii="Calibri" w:cs="Calibri" w:eastAsia="Calibri" w:hAnsi="Calibri"/>
        </w:rPr>
      </w:pPr>
      <w:r w:rsidDel="00000000" w:rsidR="00000000" w:rsidRPr="00000000">
        <w:rPr>
          <w:highlight w:val="white"/>
          <w:rtl w:val="0"/>
        </w:rPr>
        <w:t xml:space="preserve">Results of the investigation</w:t>
      </w:r>
      <w:r w:rsidDel="00000000" w:rsidR="00000000" w:rsidRPr="00000000">
        <w:rPr>
          <w:rtl w:val="0"/>
        </w:rPr>
      </w:r>
    </w:p>
    <w:p w:rsidR="00000000" w:rsidDel="00000000" w:rsidP="00000000" w:rsidRDefault="00000000" w:rsidRPr="00000000" w14:paraId="0000003A">
      <w:pPr>
        <w:widowControl w:val="1"/>
        <w:numPr>
          <w:ilvl w:val="1"/>
          <w:numId w:val="7"/>
        </w:numPr>
        <w:ind w:left="1440" w:hanging="360"/>
        <w:rPr>
          <w:rFonts w:ascii="Calibri" w:cs="Calibri" w:eastAsia="Calibri" w:hAnsi="Calibri"/>
        </w:rPr>
      </w:pPr>
      <w:r w:rsidDel="00000000" w:rsidR="00000000" w:rsidRPr="00000000">
        <w:rPr>
          <w:highlight w:val="white"/>
          <w:rtl w:val="0"/>
        </w:rPr>
        <w:t xml:space="preserve">Any recommendations</w:t>
      </w:r>
      <w:r w:rsidDel="00000000" w:rsidR="00000000" w:rsidRPr="00000000">
        <w:rPr>
          <w:rtl w:val="0"/>
        </w:rPr>
      </w:r>
    </w:p>
    <w:p w:rsidR="00000000" w:rsidDel="00000000" w:rsidP="00000000" w:rsidRDefault="00000000" w:rsidRPr="00000000" w14:paraId="0000003B">
      <w:pPr>
        <w:widowControl w:val="1"/>
        <w:numPr>
          <w:ilvl w:val="0"/>
          <w:numId w:val="7"/>
        </w:numPr>
        <w:ind w:left="720" w:hanging="360"/>
        <w:rPr>
          <w:rFonts w:ascii="Calibri" w:cs="Calibri" w:eastAsia="Calibri" w:hAnsi="Calibri"/>
        </w:rPr>
      </w:pPr>
      <w:r w:rsidDel="00000000" w:rsidR="00000000" w:rsidRPr="00000000">
        <w:rPr>
          <w:highlight w:val="white"/>
          <w:rtl w:val="0"/>
        </w:rPr>
        <w:t xml:space="preserve">Next, the workplace committee will appoint two members to complete another investigation (one employer representative and one employee representative)</w:t>
      </w:r>
      <w:r w:rsidDel="00000000" w:rsidR="00000000" w:rsidRPr="00000000">
        <w:rPr>
          <w:rtl w:val="0"/>
        </w:rPr>
      </w:r>
    </w:p>
    <w:p w:rsidR="00000000" w:rsidDel="00000000" w:rsidP="00000000" w:rsidRDefault="00000000" w:rsidRPr="00000000" w14:paraId="0000003C">
      <w:pPr>
        <w:widowControl w:val="1"/>
        <w:numPr>
          <w:ilvl w:val="1"/>
          <w:numId w:val="7"/>
        </w:numPr>
        <w:ind w:left="1440" w:hanging="360"/>
        <w:rPr>
          <w:rFonts w:ascii="Calibri" w:cs="Calibri" w:eastAsia="Calibri" w:hAnsi="Calibri"/>
        </w:rPr>
      </w:pPr>
      <w:r w:rsidDel="00000000" w:rsidR="00000000" w:rsidRPr="00000000">
        <w:rPr>
          <w:highlight w:val="white"/>
          <w:rtl w:val="0"/>
        </w:rPr>
        <w:t xml:space="preserve">Additional information from the employer may be presented to the committee for them to review </w:t>
      </w:r>
      <w:r w:rsidDel="00000000" w:rsidR="00000000" w:rsidRPr="00000000">
        <w:rPr>
          <w:rtl w:val="0"/>
        </w:rPr>
      </w:r>
    </w:p>
    <w:p w:rsidR="00000000" w:rsidDel="00000000" w:rsidP="00000000" w:rsidRDefault="00000000" w:rsidRPr="00000000" w14:paraId="0000003D">
      <w:pPr>
        <w:widowControl w:val="1"/>
        <w:numPr>
          <w:ilvl w:val="1"/>
          <w:numId w:val="7"/>
        </w:numPr>
        <w:ind w:left="1440" w:hanging="360"/>
        <w:rPr>
          <w:rFonts w:ascii="Calibri" w:cs="Calibri" w:eastAsia="Calibri" w:hAnsi="Calibri"/>
        </w:rPr>
      </w:pPr>
      <w:r w:rsidDel="00000000" w:rsidR="00000000" w:rsidRPr="00000000">
        <w:rPr>
          <w:highlight w:val="white"/>
          <w:rtl w:val="0"/>
        </w:rPr>
        <w:t xml:space="preserve">A revised report with new information may be presented to the employer after the investigation, if it is deemed necessary</w:t>
      </w:r>
      <w:r w:rsidDel="00000000" w:rsidR="00000000" w:rsidRPr="00000000">
        <w:rPr>
          <w:rtl w:val="0"/>
        </w:rPr>
      </w:r>
    </w:p>
    <w:p w:rsidR="00000000" w:rsidDel="00000000" w:rsidP="00000000" w:rsidRDefault="00000000" w:rsidRPr="00000000" w14:paraId="0000003E">
      <w:pPr>
        <w:widowControl w:val="1"/>
        <w:rPr/>
      </w:pPr>
      <w:r w:rsidDel="00000000" w:rsidR="00000000" w:rsidRPr="00000000">
        <w:rPr>
          <w:rtl w:val="0"/>
        </w:rPr>
      </w:r>
    </w:p>
    <w:p w:rsidR="00000000" w:rsidDel="00000000" w:rsidP="00000000" w:rsidRDefault="00000000" w:rsidRPr="00000000" w14:paraId="0000003F">
      <w:pPr>
        <w:widowControl w:val="1"/>
        <w:rPr/>
      </w:pPr>
      <w:r w:rsidDel="00000000" w:rsidR="00000000" w:rsidRPr="00000000">
        <w:rPr>
          <w:highlight w:val="white"/>
          <w:u w:val="single"/>
          <w:rtl w:val="0"/>
        </w:rPr>
        <w:t xml:space="preserve">Employer Decision</w:t>
      </w:r>
      <w:r w:rsidDel="00000000" w:rsidR="00000000" w:rsidRPr="00000000">
        <w:rPr>
          <w:rtl w:val="0"/>
        </w:rPr>
      </w:r>
    </w:p>
    <w:p w:rsidR="00000000" w:rsidDel="00000000" w:rsidP="00000000" w:rsidRDefault="00000000" w:rsidRPr="00000000" w14:paraId="00000040">
      <w:pPr>
        <w:widowControl w:val="1"/>
        <w:rPr/>
      </w:pPr>
      <w:r w:rsidDel="00000000" w:rsidR="00000000" w:rsidRPr="00000000">
        <w:rPr>
          <w:rtl w:val="0"/>
        </w:rPr>
      </w:r>
    </w:p>
    <w:p w:rsidR="00000000" w:rsidDel="00000000" w:rsidP="00000000" w:rsidRDefault="00000000" w:rsidRPr="00000000" w14:paraId="00000041">
      <w:pPr>
        <w:widowControl w:val="1"/>
        <w:rPr/>
      </w:pPr>
      <w:r w:rsidDel="00000000" w:rsidR="00000000" w:rsidRPr="00000000">
        <w:rPr>
          <w:highlight w:val="white"/>
          <w:rtl w:val="0"/>
        </w:rPr>
        <w:t xml:space="preserve">Once the report is received from the workplace committee, the employee must decide whether: </w:t>
      </w:r>
      <w:r w:rsidDel="00000000" w:rsidR="00000000" w:rsidRPr="00000000">
        <w:rPr>
          <w:rtl w:val="0"/>
        </w:rPr>
      </w:r>
    </w:p>
    <w:p w:rsidR="00000000" w:rsidDel="00000000" w:rsidP="00000000" w:rsidRDefault="00000000" w:rsidRPr="00000000" w14:paraId="00000042">
      <w:pPr>
        <w:widowControl w:val="1"/>
        <w:rPr/>
      </w:pPr>
      <w:r w:rsidDel="00000000" w:rsidR="00000000" w:rsidRPr="00000000">
        <w:rPr>
          <w:rtl w:val="0"/>
        </w:rPr>
      </w:r>
    </w:p>
    <w:p w:rsidR="00000000" w:rsidDel="00000000" w:rsidP="00000000" w:rsidRDefault="00000000" w:rsidRPr="00000000" w14:paraId="00000043">
      <w:pPr>
        <w:widowControl w:val="1"/>
        <w:numPr>
          <w:ilvl w:val="0"/>
          <w:numId w:val="1"/>
        </w:numPr>
        <w:ind w:left="720" w:hanging="360"/>
      </w:pPr>
      <w:r w:rsidDel="00000000" w:rsidR="00000000" w:rsidRPr="00000000">
        <w:rPr>
          <w:highlight w:val="white"/>
          <w:rtl w:val="0"/>
        </w:rPr>
        <w:t xml:space="preserve">Danger exists;</w:t>
      </w:r>
      <w:r w:rsidDel="00000000" w:rsidR="00000000" w:rsidRPr="00000000">
        <w:rPr>
          <w:rtl w:val="0"/>
        </w:rPr>
      </w:r>
    </w:p>
    <w:p w:rsidR="00000000" w:rsidDel="00000000" w:rsidP="00000000" w:rsidRDefault="00000000" w:rsidRPr="00000000" w14:paraId="00000044">
      <w:pPr>
        <w:widowControl w:val="1"/>
        <w:numPr>
          <w:ilvl w:val="0"/>
          <w:numId w:val="1"/>
        </w:numPr>
        <w:ind w:left="720" w:hanging="360"/>
      </w:pPr>
      <w:r w:rsidDel="00000000" w:rsidR="00000000" w:rsidRPr="00000000">
        <w:rPr>
          <w:highlight w:val="white"/>
          <w:rtl w:val="0"/>
        </w:rPr>
        <w:t xml:space="preserve">Danger exists but the refusal is not permitted under ss.128.(2) as it puts lives, health or safety of another person directly in danger or the danger is a normal condition of employment; or</w:t>
      </w:r>
      <w:r w:rsidDel="00000000" w:rsidR="00000000" w:rsidRPr="00000000">
        <w:rPr>
          <w:rtl w:val="0"/>
        </w:rPr>
      </w:r>
    </w:p>
    <w:p w:rsidR="00000000" w:rsidDel="00000000" w:rsidP="00000000" w:rsidRDefault="00000000" w:rsidRPr="00000000" w14:paraId="00000045">
      <w:pPr>
        <w:widowControl w:val="1"/>
        <w:numPr>
          <w:ilvl w:val="0"/>
          <w:numId w:val="1"/>
        </w:numPr>
        <w:ind w:left="720" w:hanging="360"/>
      </w:pPr>
      <w:r w:rsidDel="00000000" w:rsidR="00000000" w:rsidRPr="00000000">
        <w:rPr>
          <w:highlight w:val="white"/>
          <w:rtl w:val="0"/>
        </w:rPr>
        <w:t xml:space="preserve">Danger does not exist.</w:t>
      </w:r>
      <w:r w:rsidDel="00000000" w:rsidR="00000000" w:rsidRPr="00000000">
        <w:rPr>
          <w:rtl w:val="0"/>
        </w:rPr>
      </w:r>
    </w:p>
    <w:p w:rsidR="00000000" w:rsidDel="00000000" w:rsidP="00000000" w:rsidRDefault="00000000" w:rsidRPr="00000000" w14:paraId="00000046">
      <w:pPr>
        <w:widowControl w:val="1"/>
        <w:rPr/>
      </w:pPr>
      <w:r w:rsidDel="00000000" w:rsidR="00000000" w:rsidRPr="00000000">
        <w:rPr>
          <w:rtl w:val="0"/>
        </w:rPr>
      </w:r>
    </w:p>
    <w:p w:rsidR="00000000" w:rsidDel="00000000" w:rsidP="00000000" w:rsidRDefault="00000000" w:rsidRPr="00000000" w14:paraId="00000047">
      <w:pPr>
        <w:widowControl w:val="1"/>
        <w:shd w:fill="ffffff" w:val="clear"/>
        <w:rPr/>
      </w:pPr>
      <w:r w:rsidDel="00000000" w:rsidR="00000000" w:rsidRPr="00000000">
        <w:rPr>
          <w:highlight w:val="white"/>
          <w:rtl w:val="0"/>
        </w:rPr>
        <w:t xml:space="preserve">If danger exists, the employer shall act immediately to rectify the situation and notify the work place committee of the actions taken. If the employee agrees the measures taken have corrected the issue, they can return to work.</w:t>
      </w:r>
      <w:r w:rsidDel="00000000" w:rsidR="00000000" w:rsidRPr="00000000">
        <w:rPr>
          <w:rtl w:val="0"/>
        </w:rPr>
      </w:r>
    </w:p>
    <w:p w:rsidR="00000000" w:rsidDel="00000000" w:rsidP="00000000" w:rsidRDefault="00000000" w:rsidRPr="00000000" w14:paraId="00000048">
      <w:pPr>
        <w:widowControl w:val="1"/>
        <w:shd w:fill="ffffff" w:val="clear"/>
        <w:rPr>
          <w:highlight w:val="white"/>
        </w:rPr>
      </w:pPr>
      <w:r w:rsidDel="00000000" w:rsidR="00000000" w:rsidRPr="00000000">
        <w:rPr>
          <w:rtl w:val="0"/>
        </w:rPr>
      </w:r>
    </w:p>
    <w:p w:rsidR="00000000" w:rsidDel="00000000" w:rsidP="00000000" w:rsidRDefault="00000000" w:rsidRPr="00000000" w14:paraId="00000049">
      <w:pPr>
        <w:widowControl w:val="1"/>
        <w:shd w:fill="ffffff" w:val="clear"/>
        <w:rPr/>
      </w:pPr>
      <w:r w:rsidDel="00000000" w:rsidR="00000000" w:rsidRPr="00000000">
        <w:rPr>
          <w:highlight w:val="white"/>
          <w:rtl w:val="0"/>
        </w:rPr>
        <w:t xml:space="preserve">If the refusal is not allowed, the employer will inform the employee about this in writing and if the employee agrees, they may return to work.</w:t>
      </w:r>
      <w:r w:rsidDel="00000000" w:rsidR="00000000" w:rsidRPr="00000000">
        <w:rPr>
          <w:rtl w:val="0"/>
        </w:rPr>
      </w:r>
    </w:p>
    <w:p w:rsidR="00000000" w:rsidDel="00000000" w:rsidP="00000000" w:rsidRDefault="00000000" w:rsidRPr="00000000" w14:paraId="0000004A">
      <w:pPr>
        <w:widowControl w:val="1"/>
        <w:shd w:fill="ffffff" w:val="clear"/>
        <w:rPr>
          <w:highlight w:val="white"/>
        </w:rPr>
      </w:pPr>
      <w:r w:rsidDel="00000000" w:rsidR="00000000" w:rsidRPr="00000000">
        <w:rPr>
          <w:rtl w:val="0"/>
        </w:rPr>
      </w:r>
    </w:p>
    <w:p w:rsidR="00000000" w:rsidDel="00000000" w:rsidP="00000000" w:rsidRDefault="00000000" w:rsidRPr="00000000" w14:paraId="0000004B">
      <w:pPr>
        <w:widowControl w:val="1"/>
        <w:shd w:fill="ffffff" w:val="clear"/>
        <w:rPr/>
      </w:pPr>
      <w:r w:rsidDel="00000000" w:rsidR="00000000" w:rsidRPr="00000000">
        <w:rPr>
          <w:highlight w:val="white"/>
          <w:rtl w:val="0"/>
        </w:rPr>
        <w:t xml:space="preserve">If danger does not exist, the employer will inform the employee about this in writing and if the employee agrees, they may return to work.</w:t>
      </w:r>
      <w:r w:rsidDel="00000000" w:rsidR="00000000" w:rsidRPr="00000000">
        <w:rPr>
          <w:rtl w:val="0"/>
        </w:rPr>
      </w:r>
    </w:p>
    <w:p w:rsidR="00000000" w:rsidDel="00000000" w:rsidP="00000000" w:rsidRDefault="00000000" w:rsidRPr="00000000" w14:paraId="0000004C">
      <w:pPr>
        <w:widowControl w:val="1"/>
        <w:shd w:fill="ffffff" w:val="clear"/>
        <w:rPr>
          <w:highlight w:val="white"/>
        </w:rPr>
      </w:pPr>
      <w:r w:rsidDel="00000000" w:rsidR="00000000" w:rsidRPr="00000000">
        <w:rPr>
          <w:rtl w:val="0"/>
        </w:rPr>
      </w:r>
    </w:p>
    <w:p w:rsidR="00000000" w:rsidDel="00000000" w:rsidP="00000000" w:rsidRDefault="00000000" w:rsidRPr="00000000" w14:paraId="0000004D">
      <w:pPr>
        <w:widowControl w:val="1"/>
        <w:shd w:fill="ffffff" w:val="clear"/>
        <w:rPr/>
      </w:pPr>
      <w:r w:rsidDel="00000000" w:rsidR="00000000" w:rsidRPr="00000000">
        <w:rPr>
          <w:highlight w:val="white"/>
          <w:rtl w:val="0"/>
        </w:rPr>
        <w:t xml:space="preserve">If the employee disagrees with the employer’s decision in any of the above scenarios, [Organization Name] will immediately notify the Minister of Labour and the workplace committee. [Organization Name] will also provide the Minister with the investigation reports provided at each step.</w:t>
      </w:r>
      <w:r w:rsidDel="00000000" w:rsidR="00000000" w:rsidRPr="00000000">
        <w:rPr>
          <w:rtl w:val="0"/>
        </w:rPr>
      </w:r>
    </w:p>
    <w:p w:rsidR="00000000" w:rsidDel="00000000" w:rsidP="00000000" w:rsidRDefault="00000000" w:rsidRPr="00000000" w14:paraId="0000004E">
      <w:pPr>
        <w:widowControl w:val="1"/>
        <w:rPr>
          <w:highlight w:val="white"/>
        </w:rPr>
      </w:pPr>
      <w:r w:rsidDel="00000000" w:rsidR="00000000" w:rsidRPr="00000000">
        <w:rPr>
          <w:rtl w:val="0"/>
        </w:rPr>
      </w:r>
    </w:p>
    <w:p w:rsidR="00000000" w:rsidDel="00000000" w:rsidP="00000000" w:rsidRDefault="00000000" w:rsidRPr="00000000" w14:paraId="0000004F">
      <w:pPr>
        <w:widowControl w:val="1"/>
        <w:rPr/>
      </w:pPr>
      <w:r w:rsidDel="00000000" w:rsidR="00000000" w:rsidRPr="00000000">
        <w:rPr>
          <w:highlight w:val="white"/>
          <w:rtl w:val="0"/>
        </w:rPr>
        <w:t xml:space="preserve">During the Minister’s investigation, [Organization Name] may choose to assign an alternate employee to perform the work, if the first employee is still refusing, as long as the appointed employee: </w:t>
      </w:r>
      <w:r w:rsidDel="00000000" w:rsidR="00000000" w:rsidRPr="00000000">
        <w:rPr>
          <w:rtl w:val="0"/>
        </w:rPr>
      </w:r>
    </w:p>
    <w:p w:rsidR="00000000" w:rsidDel="00000000" w:rsidP="00000000" w:rsidRDefault="00000000" w:rsidRPr="00000000" w14:paraId="00000050">
      <w:pPr>
        <w:widowControl w:val="1"/>
        <w:rPr/>
      </w:pPr>
      <w:r w:rsidDel="00000000" w:rsidR="00000000" w:rsidRPr="00000000">
        <w:rPr>
          <w:rtl w:val="0"/>
        </w:rPr>
      </w:r>
    </w:p>
    <w:p w:rsidR="00000000" w:rsidDel="00000000" w:rsidP="00000000" w:rsidRDefault="00000000" w:rsidRPr="00000000" w14:paraId="00000051">
      <w:pPr>
        <w:widowControl w:val="1"/>
        <w:numPr>
          <w:ilvl w:val="0"/>
          <w:numId w:val="8"/>
        </w:numPr>
        <w:shd w:fill="ffffff" w:val="clear"/>
        <w:ind w:left="720" w:hanging="360"/>
        <w:rPr>
          <w:rFonts w:ascii="Calibri" w:cs="Calibri" w:eastAsia="Calibri" w:hAnsi="Calibri"/>
        </w:rPr>
      </w:pPr>
      <w:r w:rsidDel="00000000" w:rsidR="00000000" w:rsidRPr="00000000">
        <w:rPr>
          <w:highlight w:val="white"/>
          <w:rtl w:val="0"/>
        </w:rPr>
        <w:t xml:space="preserve">is qualified to perform the work;</w:t>
      </w:r>
      <w:r w:rsidDel="00000000" w:rsidR="00000000" w:rsidRPr="00000000">
        <w:rPr>
          <w:rtl w:val="0"/>
        </w:rPr>
      </w:r>
    </w:p>
    <w:p w:rsidR="00000000" w:rsidDel="00000000" w:rsidP="00000000" w:rsidRDefault="00000000" w:rsidRPr="00000000" w14:paraId="00000052">
      <w:pPr>
        <w:widowControl w:val="1"/>
        <w:numPr>
          <w:ilvl w:val="0"/>
          <w:numId w:val="8"/>
        </w:numPr>
        <w:shd w:fill="ffffff" w:val="clear"/>
        <w:ind w:left="720" w:hanging="360"/>
        <w:rPr>
          <w:rFonts w:ascii="Calibri" w:cs="Calibri" w:eastAsia="Calibri" w:hAnsi="Calibri"/>
        </w:rPr>
      </w:pPr>
      <w:r w:rsidDel="00000000" w:rsidR="00000000" w:rsidRPr="00000000">
        <w:rPr>
          <w:highlight w:val="white"/>
          <w:rtl w:val="0"/>
        </w:rPr>
        <w:t xml:space="preserve">is advised of the continued refusal and the reasons for it; and</w:t>
      </w:r>
      <w:r w:rsidDel="00000000" w:rsidR="00000000" w:rsidRPr="00000000">
        <w:rPr>
          <w:rtl w:val="0"/>
        </w:rPr>
      </w:r>
    </w:p>
    <w:p w:rsidR="00000000" w:rsidDel="00000000" w:rsidP="00000000" w:rsidRDefault="00000000" w:rsidRPr="00000000" w14:paraId="00000053">
      <w:pPr>
        <w:widowControl w:val="1"/>
        <w:numPr>
          <w:ilvl w:val="0"/>
          <w:numId w:val="8"/>
        </w:numPr>
        <w:shd w:fill="ffffff" w:val="clear"/>
        <w:spacing w:after="180" w:lineRule="auto"/>
        <w:ind w:left="720" w:hanging="360"/>
        <w:rPr>
          <w:rFonts w:ascii="Calibri" w:cs="Calibri" w:eastAsia="Calibri" w:hAnsi="Calibri"/>
        </w:rPr>
      </w:pPr>
      <w:r w:rsidDel="00000000" w:rsidR="00000000" w:rsidRPr="00000000">
        <w:rPr>
          <w:highlight w:val="white"/>
          <w:rtl w:val="0"/>
        </w:rPr>
        <w:t xml:space="preserve">will not be put in danger.</w:t>
      </w:r>
      <w:r w:rsidDel="00000000" w:rsidR="00000000" w:rsidRPr="00000000">
        <w:rPr>
          <w:rtl w:val="0"/>
        </w:rPr>
      </w:r>
    </w:p>
    <w:p w:rsidR="00000000" w:rsidDel="00000000" w:rsidP="00000000" w:rsidRDefault="00000000" w:rsidRPr="00000000" w14:paraId="00000054">
      <w:pPr>
        <w:widowControl w:val="1"/>
        <w:rPr/>
      </w:pPr>
      <w:r w:rsidDel="00000000" w:rsidR="00000000" w:rsidRPr="00000000">
        <w:rPr>
          <w:highlight w:val="white"/>
          <w:u w:val="single"/>
          <w:rtl w:val="0"/>
        </w:rPr>
        <w:t xml:space="preserve">Minister’s Investigation</w:t>
      </w:r>
      <w:r w:rsidDel="00000000" w:rsidR="00000000" w:rsidRPr="00000000">
        <w:rPr>
          <w:rtl w:val="0"/>
        </w:rPr>
      </w:r>
    </w:p>
    <w:p w:rsidR="00000000" w:rsidDel="00000000" w:rsidP="00000000" w:rsidRDefault="00000000" w:rsidRPr="00000000" w14:paraId="00000055">
      <w:pPr>
        <w:widowControl w:val="1"/>
        <w:rPr/>
      </w:pPr>
      <w:r w:rsidDel="00000000" w:rsidR="00000000" w:rsidRPr="00000000">
        <w:rPr>
          <w:rtl w:val="0"/>
        </w:rPr>
      </w:r>
    </w:p>
    <w:p w:rsidR="00000000" w:rsidDel="00000000" w:rsidP="00000000" w:rsidRDefault="00000000" w:rsidRPr="00000000" w14:paraId="00000056">
      <w:pPr>
        <w:widowControl w:val="1"/>
        <w:rPr/>
      </w:pPr>
      <w:r w:rsidDel="00000000" w:rsidR="00000000" w:rsidRPr="00000000">
        <w:rPr>
          <w:highlight w:val="white"/>
          <w:rtl w:val="0"/>
        </w:rPr>
        <w:t xml:space="preserve">If the Minister is notified of a continued refusal, they will conduct an investigation in the presence of the employer, employee, and another representative of the employee (a worker committee member, if possible).</w:t>
      </w:r>
      <w:r w:rsidDel="00000000" w:rsidR="00000000" w:rsidRPr="00000000">
        <w:rPr>
          <w:rtl w:val="0"/>
        </w:rPr>
      </w:r>
    </w:p>
    <w:p w:rsidR="00000000" w:rsidDel="00000000" w:rsidP="00000000" w:rsidRDefault="00000000" w:rsidRPr="00000000" w14:paraId="00000057">
      <w:pPr>
        <w:widowControl w:val="1"/>
        <w:rPr/>
      </w:pPr>
      <w:r w:rsidDel="00000000" w:rsidR="00000000" w:rsidRPr="00000000">
        <w:rPr>
          <w:rtl w:val="0"/>
        </w:rPr>
      </w:r>
    </w:p>
    <w:p w:rsidR="00000000" w:rsidDel="00000000" w:rsidP="00000000" w:rsidRDefault="00000000" w:rsidRPr="00000000" w14:paraId="00000058">
      <w:pPr>
        <w:widowControl w:val="1"/>
        <w:rPr/>
      </w:pPr>
      <w:r w:rsidDel="00000000" w:rsidR="00000000" w:rsidRPr="00000000">
        <w:rPr>
          <w:highlight w:val="white"/>
          <w:rtl w:val="0"/>
        </w:rPr>
        <w:t xml:space="preserve">The only reason the Minister will not conduct an investigation is if they believe the issue should be dealt with by another law or section of the Code. In this case the Minister would provide this decision in writing as soon as possible.</w:t>
      </w:r>
      <w:r w:rsidDel="00000000" w:rsidR="00000000" w:rsidRPr="00000000">
        <w:rPr>
          <w:rtl w:val="0"/>
        </w:rPr>
      </w:r>
    </w:p>
    <w:p w:rsidR="00000000" w:rsidDel="00000000" w:rsidP="00000000" w:rsidRDefault="00000000" w:rsidRPr="00000000" w14:paraId="00000059">
      <w:pPr>
        <w:widowControl w:val="1"/>
        <w:rPr/>
      </w:pPr>
      <w:r w:rsidDel="00000000" w:rsidR="00000000" w:rsidRPr="00000000">
        <w:rPr>
          <w:rtl w:val="0"/>
        </w:rPr>
      </w:r>
    </w:p>
    <w:p w:rsidR="00000000" w:rsidDel="00000000" w:rsidP="00000000" w:rsidRDefault="00000000" w:rsidRPr="00000000" w14:paraId="0000005A">
      <w:pPr>
        <w:widowControl w:val="1"/>
        <w:rPr/>
      </w:pPr>
      <w:r w:rsidDel="00000000" w:rsidR="00000000" w:rsidRPr="00000000">
        <w:rPr>
          <w:highlight w:val="white"/>
          <w:rtl w:val="0"/>
        </w:rPr>
        <w:t xml:space="preserve">If the Minister investigates, they will provide written notification to the employer and employee as soon as possible with the results of the investigation that: </w:t>
      </w:r>
      <w:r w:rsidDel="00000000" w:rsidR="00000000" w:rsidRPr="00000000">
        <w:rPr>
          <w:rtl w:val="0"/>
        </w:rPr>
      </w:r>
    </w:p>
    <w:p w:rsidR="00000000" w:rsidDel="00000000" w:rsidP="00000000" w:rsidRDefault="00000000" w:rsidRPr="00000000" w14:paraId="0000005B">
      <w:pPr>
        <w:widowControl w:val="1"/>
        <w:rPr/>
      </w:pPr>
      <w:r w:rsidDel="00000000" w:rsidR="00000000" w:rsidRPr="00000000">
        <w:rPr>
          <w:rtl w:val="0"/>
        </w:rPr>
      </w:r>
    </w:p>
    <w:p w:rsidR="00000000" w:rsidDel="00000000" w:rsidP="00000000" w:rsidRDefault="00000000" w:rsidRPr="00000000" w14:paraId="0000005C">
      <w:pPr>
        <w:widowControl w:val="1"/>
        <w:numPr>
          <w:ilvl w:val="0"/>
          <w:numId w:val="6"/>
        </w:numPr>
        <w:ind w:left="720" w:hanging="360"/>
      </w:pPr>
      <w:r w:rsidDel="00000000" w:rsidR="00000000" w:rsidRPr="00000000">
        <w:rPr>
          <w:highlight w:val="white"/>
          <w:rtl w:val="0"/>
        </w:rPr>
        <w:t xml:space="preserve">Danger exists;</w:t>
      </w:r>
      <w:r w:rsidDel="00000000" w:rsidR="00000000" w:rsidRPr="00000000">
        <w:rPr>
          <w:rtl w:val="0"/>
        </w:rPr>
      </w:r>
    </w:p>
    <w:p w:rsidR="00000000" w:rsidDel="00000000" w:rsidP="00000000" w:rsidRDefault="00000000" w:rsidRPr="00000000" w14:paraId="0000005D">
      <w:pPr>
        <w:widowControl w:val="1"/>
        <w:numPr>
          <w:ilvl w:val="0"/>
          <w:numId w:val="6"/>
        </w:numPr>
        <w:ind w:left="720" w:hanging="360"/>
      </w:pPr>
      <w:r w:rsidDel="00000000" w:rsidR="00000000" w:rsidRPr="00000000">
        <w:rPr>
          <w:highlight w:val="white"/>
          <w:rtl w:val="0"/>
        </w:rPr>
        <w:t xml:space="preserve">Danger exists but the refusal is not permitted under ss.128.(2) as it puts lives, health or safety of another person directly in danger or the danger is a normal condition of employment; or</w:t>
      </w:r>
      <w:r w:rsidDel="00000000" w:rsidR="00000000" w:rsidRPr="00000000">
        <w:rPr>
          <w:rtl w:val="0"/>
        </w:rPr>
      </w:r>
    </w:p>
    <w:p w:rsidR="00000000" w:rsidDel="00000000" w:rsidP="00000000" w:rsidRDefault="00000000" w:rsidRPr="00000000" w14:paraId="0000005E">
      <w:pPr>
        <w:widowControl w:val="1"/>
        <w:numPr>
          <w:ilvl w:val="0"/>
          <w:numId w:val="6"/>
        </w:numPr>
        <w:ind w:left="720" w:hanging="360"/>
      </w:pPr>
      <w:r w:rsidDel="00000000" w:rsidR="00000000" w:rsidRPr="00000000">
        <w:rPr>
          <w:highlight w:val="white"/>
          <w:rtl w:val="0"/>
        </w:rPr>
        <w:t xml:space="preserve">Danger does not exist.</w:t>
      </w:r>
      <w:r w:rsidDel="00000000" w:rsidR="00000000" w:rsidRPr="00000000">
        <w:rPr>
          <w:rtl w:val="0"/>
        </w:rPr>
      </w:r>
    </w:p>
    <w:p w:rsidR="00000000" w:rsidDel="00000000" w:rsidP="00000000" w:rsidRDefault="00000000" w:rsidRPr="00000000" w14:paraId="0000005F">
      <w:pPr>
        <w:widowControl w:val="1"/>
        <w:rPr/>
      </w:pPr>
      <w:r w:rsidDel="00000000" w:rsidR="00000000" w:rsidRPr="00000000">
        <w:rPr>
          <w:rtl w:val="0"/>
        </w:rPr>
      </w:r>
    </w:p>
    <w:p w:rsidR="00000000" w:rsidDel="00000000" w:rsidP="00000000" w:rsidRDefault="00000000" w:rsidRPr="00000000" w14:paraId="00000060">
      <w:pPr>
        <w:widowControl w:val="1"/>
        <w:rPr/>
      </w:pPr>
      <w:r w:rsidDel="00000000" w:rsidR="00000000" w:rsidRPr="00000000">
        <w:rPr>
          <w:highlight w:val="white"/>
          <w:rtl w:val="0"/>
        </w:rPr>
        <w:t xml:space="preserve">Where danger exists, the employee may continue to refuse to work until all directions given by the Minister to address the danger are fulfilled.</w:t>
      </w:r>
      <w:r w:rsidDel="00000000" w:rsidR="00000000" w:rsidRPr="00000000">
        <w:rPr>
          <w:rtl w:val="0"/>
        </w:rPr>
      </w:r>
    </w:p>
    <w:p w:rsidR="00000000" w:rsidDel="00000000" w:rsidP="00000000" w:rsidRDefault="00000000" w:rsidRPr="00000000" w14:paraId="00000061">
      <w:pPr>
        <w:widowControl w:val="1"/>
        <w:rPr/>
      </w:pPr>
      <w:r w:rsidDel="00000000" w:rsidR="00000000" w:rsidRPr="00000000">
        <w:rPr>
          <w:rtl w:val="0"/>
        </w:rPr>
      </w:r>
    </w:p>
    <w:p w:rsidR="00000000" w:rsidDel="00000000" w:rsidP="00000000" w:rsidRDefault="00000000" w:rsidRPr="00000000" w14:paraId="00000062">
      <w:pPr>
        <w:widowControl w:val="1"/>
        <w:rPr/>
      </w:pPr>
      <w:r w:rsidDel="00000000" w:rsidR="00000000" w:rsidRPr="00000000">
        <w:rPr>
          <w:highlight w:val="white"/>
          <w:rtl w:val="0"/>
        </w:rPr>
        <w:t xml:space="preserve">In all other situations, the Minister will provide the decision in writing and the employee will no longer be entitled to refuse to work. A full report will be provided by the Minister to the employer, employee and workplace committee within 10 days of its completion. </w:t>
      </w:r>
      <w:r w:rsidDel="00000000" w:rsidR="00000000" w:rsidRPr="00000000">
        <w:rPr>
          <w:rtl w:val="0"/>
        </w:rPr>
      </w:r>
    </w:p>
    <w:p w:rsidR="00000000" w:rsidDel="00000000" w:rsidP="00000000" w:rsidRDefault="00000000" w:rsidRPr="00000000" w14:paraId="00000063">
      <w:pPr>
        <w:widowControl w:val="1"/>
        <w:rPr/>
      </w:pPr>
      <w:r w:rsidDel="00000000" w:rsidR="00000000" w:rsidRPr="00000000">
        <w:rPr>
          <w:rtl w:val="0"/>
        </w:rPr>
      </w:r>
    </w:p>
    <w:p w:rsidR="00000000" w:rsidDel="00000000" w:rsidP="00000000" w:rsidRDefault="00000000" w:rsidRPr="00000000" w14:paraId="00000064">
      <w:pPr>
        <w:widowControl w:val="1"/>
        <w:rPr/>
      </w:pPr>
      <w:r w:rsidDel="00000000" w:rsidR="00000000" w:rsidRPr="00000000">
        <w:rPr>
          <w:highlight w:val="white"/>
          <w:u w:val="single"/>
          <w:rtl w:val="0"/>
        </w:rPr>
        <w:t xml:space="preserve">Employee Recourse</w:t>
      </w:r>
      <w:r w:rsidDel="00000000" w:rsidR="00000000" w:rsidRPr="00000000">
        <w:rPr>
          <w:rtl w:val="0"/>
        </w:rPr>
      </w:r>
    </w:p>
    <w:p w:rsidR="00000000" w:rsidDel="00000000" w:rsidP="00000000" w:rsidRDefault="00000000" w:rsidRPr="00000000" w14:paraId="00000065">
      <w:pPr>
        <w:widowControl w:val="1"/>
        <w:rPr/>
      </w:pPr>
      <w:r w:rsidDel="00000000" w:rsidR="00000000" w:rsidRPr="00000000">
        <w:rPr>
          <w:rtl w:val="0"/>
        </w:rPr>
      </w:r>
    </w:p>
    <w:p w:rsidR="00000000" w:rsidDel="00000000" w:rsidP="00000000" w:rsidRDefault="00000000" w:rsidRPr="00000000" w14:paraId="00000066">
      <w:pPr>
        <w:widowControl w:val="1"/>
        <w:rPr/>
      </w:pPr>
      <w:r w:rsidDel="00000000" w:rsidR="00000000" w:rsidRPr="00000000">
        <w:rPr>
          <w:highlight w:val="white"/>
          <w:rtl w:val="0"/>
        </w:rPr>
        <w:t xml:space="preserve">In the case that a Minister decides not to investigate a continued work refusal, the employee may file an application for judicial review with the Federal Court within thirty (30) days after receiving the decision.</w:t>
      </w:r>
      <w:r w:rsidDel="00000000" w:rsidR="00000000" w:rsidRPr="00000000">
        <w:rPr>
          <w:rtl w:val="0"/>
        </w:rPr>
      </w:r>
    </w:p>
    <w:p w:rsidR="00000000" w:rsidDel="00000000" w:rsidP="00000000" w:rsidRDefault="00000000" w:rsidRPr="00000000" w14:paraId="00000067">
      <w:pPr>
        <w:widowControl w:val="1"/>
        <w:rPr/>
      </w:pPr>
      <w:r w:rsidDel="00000000" w:rsidR="00000000" w:rsidRPr="00000000">
        <w:rPr>
          <w:rtl w:val="0"/>
        </w:rPr>
      </w:r>
    </w:p>
    <w:p w:rsidR="00000000" w:rsidDel="00000000" w:rsidP="00000000" w:rsidRDefault="00000000" w:rsidRPr="00000000" w14:paraId="00000068">
      <w:pPr>
        <w:widowControl w:val="1"/>
        <w:rPr/>
      </w:pPr>
      <w:r w:rsidDel="00000000" w:rsidR="00000000" w:rsidRPr="00000000">
        <w:rPr>
          <w:highlight w:val="white"/>
          <w:rtl w:val="0"/>
        </w:rPr>
        <w:t xml:space="preserve">An employee who feels aggrieved by the Minister’s decision that no danger exists or that the refusal to work is not permitted under ss.128.(2) has ten (10) days after receiving the decision to appeal the decision in writing to an appeals officer.</w:t>
      </w:r>
      <w:r w:rsidDel="00000000" w:rsidR="00000000" w:rsidRPr="00000000">
        <w:rPr>
          <w:rtl w:val="0"/>
        </w:rPr>
      </w:r>
    </w:p>
    <w:p w:rsidR="00000000" w:rsidDel="00000000" w:rsidP="00000000" w:rsidRDefault="00000000" w:rsidRPr="00000000" w14:paraId="00000069">
      <w:pPr>
        <w:widowControl w:val="1"/>
        <w:rPr/>
      </w:pP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6A">
      <w:pPr>
        <w:widowControl w:val="1"/>
        <w:rPr/>
      </w:pPr>
      <w:r w:rsidDel="00000000" w:rsidR="00000000" w:rsidRPr="00000000">
        <w:rPr>
          <w:highlight w:val="white"/>
          <w:rtl w:val="0"/>
        </w:rPr>
        <w:t xml:space="preserve">Any employer, employee or trade union that feels aggrieved by the Minister's direction has thirty (30) days after the direction was issued to appeal the direction in writing to an appeals officer. </w:t>
      </w:r>
      <w:r w:rsidDel="00000000" w:rsidR="00000000" w:rsidRPr="00000000">
        <w:rPr>
          <w:rtl w:val="0"/>
        </w:rPr>
      </w:r>
    </w:p>
    <w:p w:rsidR="00000000" w:rsidDel="00000000" w:rsidP="00000000" w:rsidRDefault="00000000" w:rsidRPr="00000000" w14:paraId="0000006B">
      <w:pPr>
        <w:widowControl w:val="1"/>
        <w:rPr/>
      </w:pPr>
      <w:r w:rsidDel="00000000" w:rsidR="00000000" w:rsidRPr="00000000">
        <w:rPr>
          <w:rtl w:val="0"/>
        </w:rPr>
      </w:r>
    </w:p>
    <w:p w:rsidR="00000000" w:rsidDel="00000000" w:rsidP="00000000" w:rsidRDefault="00000000" w:rsidRPr="00000000" w14:paraId="0000006C">
      <w:pPr>
        <w:widowControl w:val="1"/>
        <w:shd w:fill="ffffff" w:val="clear"/>
        <w:rPr/>
      </w:pPr>
      <w:r w:rsidDel="00000000" w:rsidR="00000000" w:rsidRPr="00000000">
        <w:rPr>
          <w:u w:val="single"/>
          <w:rtl w:val="0"/>
        </w:rPr>
        <w:t xml:space="preserve">Disciplinary Action</w:t>
      </w:r>
      <w:r w:rsidDel="00000000" w:rsidR="00000000" w:rsidRPr="00000000">
        <w:rPr>
          <w:rtl w:val="0"/>
        </w:rPr>
      </w:r>
    </w:p>
    <w:p w:rsidR="00000000" w:rsidDel="00000000" w:rsidP="00000000" w:rsidRDefault="00000000" w:rsidRPr="00000000" w14:paraId="0000006D">
      <w:pPr>
        <w:widowControl w:val="1"/>
        <w:shd w:fill="ffffff" w:val="clear"/>
        <w:rPr/>
      </w:pPr>
      <w:r w:rsidDel="00000000" w:rsidR="00000000" w:rsidRPr="00000000">
        <w:rPr>
          <w:rtl w:val="0"/>
        </w:rPr>
        <w:t xml:space="preserve"> </w:t>
      </w:r>
    </w:p>
    <w:p w:rsidR="00000000" w:rsidDel="00000000" w:rsidP="00000000" w:rsidRDefault="00000000" w:rsidRPr="00000000" w14:paraId="0000006E">
      <w:pPr>
        <w:widowControl w:val="1"/>
        <w:rPr/>
      </w:pPr>
      <w:r w:rsidDel="00000000" w:rsidR="00000000" w:rsidRPr="00000000">
        <w:rPr>
          <w:highlight w:val="white"/>
          <w:rtl w:val="0"/>
        </w:rPr>
        <w:t xml:space="preserve">If it can be proven an employee of [Organization Name] has willfully abused the right to refuse dangerous work through appropriate investigation as set out within the Code, disciplinary action may be taken.</w:t>
      </w:r>
      <w:r w:rsidDel="00000000" w:rsidR="00000000" w:rsidRPr="00000000">
        <w:rPr>
          <w:rtl w:val="0"/>
        </w:rPr>
      </w:r>
    </w:p>
    <w:p w:rsidR="00000000" w:rsidDel="00000000" w:rsidP="00000000" w:rsidRDefault="00000000" w:rsidRPr="00000000" w14:paraId="0000006F">
      <w:pPr>
        <w:widowControl w:val="1"/>
        <w:rPr/>
      </w:pPr>
      <w:r w:rsidDel="00000000" w:rsidR="00000000" w:rsidRPr="00000000">
        <w:rPr>
          <w:rtl w:val="0"/>
        </w:rPr>
      </w:r>
    </w:p>
    <w:p w:rsidR="00000000" w:rsidDel="00000000" w:rsidP="00000000" w:rsidRDefault="00000000" w:rsidRPr="00000000" w14:paraId="00000070">
      <w:pPr>
        <w:widowControl w:val="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71">
      <w:pPr>
        <w:widowControl w:val="1"/>
        <w:spacing w:after="160" w:line="259" w:lineRule="auto"/>
        <w:rPr/>
      </w:pPr>
      <w:r w:rsidDel="00000000" w:rsidR="00000000" w:rsidRPr="00000000">
        <w:rPr>
          <w:rtl w:val="0"/>
        </w:rPr>
      </w:r>
    </w:p>
    <w:sectPr>
      <w:headerReference r:id="rId7" w:type="default"/>
      <w:footerReference r:id="rId8" w:type="default"/>
      <w:pgSz w:h="15840" w:w="12240" w:orient="portrait"/>
      <w:pgMar w:bottom="1440" w:top="1440" w:left="1440" w:right="1610" w:header="357" w:footer="3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rPr/>
    </w:pPr>
    <w:r w:rsidDel="00000000" w:rsidR="00000000" w:rsidRPr="00000000">
      <w:rPr/>
      <w:drawing>
        <wp:inline distB="114300" distT="114300" distL="114300" distR="114300">
          <wp:extent cx="2509838" cy="536695"/>
          <wp:effectExtent b="0" l="0" r="0" t="0"/>
          <wp:docPr id="24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09838" cy="53669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qFormat w:val="1"/>
    <w:rsid w:val="00987236"/>
  </w:style>
  <w:style w:type="paragraph" w:styleId="Heading1">
    <w:name w:val="heading 1"/>
    <w:basedOn w:val="HSH1"/>
    <w:link w:val="Heading1Char"/>
    <w:uiPriority w:val="9"/>
    <w:qFormat w:val="1"/>
    <w:rsid w:val="00987236"/>
    <w:pPr>
      <w:outlineLvl w:val="0"/>
    </w:pPr>
  </w:style>
  <w:style w:type="paragraph" w:styleId="Heading2">
    <w:name w:val="heading 2"/>
    <w:basedOn w:val="HSH2"/>
    <w:link w:val="Heading2Char"/>
    <w:uiPriority w:val="9"/>
    <w:unhideWhenUsed w:val="1"/>
    <w:qFormat w:val="1"/>
    <w:rsid w:val="00202987"/>
    <w:pPr>
      <w:widowControl w:val="1"/>
      <w:outlineLvl w:val="1"/>
    </w:pPr>
  </w:style>
  <w:style w:type="paragraph" w:styleId="Heading3">
    <w:name w:val="heading 3"/>
    <w:basedOn w:val="HSH3"/>
    <w:next w:val="Normal"/>
    <w:link w:val="Heading3Char"/>
    <w:uiPriority w:val="9"/>
    <w:unhideWhenUsed w:val="1"/>
    <w:qFormat w:val="1"/>
    <w:rsid w:val="00987236"/>
    <w:pPr>
      <w:outlineLvl w:val="2"/>
    </w:pPr>
  </w:style>
  <w:style w:type="paragraph" w:styleId="Heading4">
    <w:name w:val="heading 4"/>
    <w:basedOn w:val="Normal"/>
    <w:next w:val="Normal"/>
    <w:link w:val="Heading4Char"/>
    <w:uiPriority w:val="9"/>
    <w:unhideWhenUsed w:val="1"/>
    <w:qFormat w:val="1"/>
    <w:rsid w:val="002910F5"/>
    <w:pPr>
      <w:outlineLvl w:val="3"/>
    </w:pPr>
    <w:rPr>
      <w:u w:val="single"/>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HSTitle"/>
    <w:next w:val="Normal"/>
    <w:link w:val="TitleChar"/>
    <w:uiPriority w:val="10"/>
    <w:qFormat w:val="1"/>
    <w:rsid w:val="00987236"/>
    <w:pPr>
      <w:ind w:left="720"/>
    </w:pPr>
  </w:style>
  <w:style w:type="paragraph" w:styleId="TOC1">
    <w:name w:val="toc 1"/>
    <w:basedOn w:val="Normal"/>
    <w:uiPriority w:val="39"/>
    <w:qFormat w:val="1"/>
    <w:pPr>
      <w:spacing w:after="120" w:before="240"/>
    </w:pPr>
    <w:rPr>
      <w:rFonts w:asciiTheme="minorHAnsi" w:cstheme="minorHAnsi" w:hAnsiTheme="minorHAnsi"/>
      <w:b w:val="1"/>
      <w:bCs w:val="1"/>
      <w:sz w:val="20"/>
      <w:szCs w:val="20"/>
    </w:rPr>
  </w:style>
  <w:style w:type="paragraph" w:styleId="BodyText">
    <w:name w:val="Body Text"/>
    <w:basedOn w:val="Normal"/>
    <w:uiPriority w:val="1"/>
    <w:qFormat w:val="1"/>
    <w:pPr>
      <w:ind w:left="100"/>
    </w:pPr>
  </w:style>
  <w:style w:type="paragraph" w:styleId="ListParagraph">
    <w:name w:val="List Paragraph"/>
    <w:basedOn w:val="Normal"/>
    <w:uiPriority w:val="34"/>
    <w:qFormat w:val="1"/>
  </w:style>
  <w:style w:type="paragraph" w:styleId="TableParagraph" w:customStyle="1">
    <w:name w:val="Table Paragraph"/>
    <w:basedOn w:val="Normal"/>
    <w:uiPriority w:val="1"/>
    <w:qFormat w:val="1"/>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0.0" w:type="dxa"/>
        <w:right w:w="0.0" w:type="dxa"/>
      </w:tblCellMar>
    </w:tblPr>
  </w:style>
  <w:style w:type="table" w:styleId="a8" w:customStyle="1">
    <w:basedOn w:val="TableNormal"/>
    <w:tblPr>
      <w:tblStyleRowBandSize w:val="1"/>
      <w:tblStyleColBandSize w:val="1"/>
      <w:tblCellMar>
        <w:left w:w="0.0" w:type="dxa"/>
        <w:right w:w="0.0" w:type="dxa"/>
      </w:tblCellMar>
    </w:tblPr>
  </w:style>
  <w:style w:type="table" w:styleId="a9" w:customStyle="1">
    <w:basedOn w:val="TableNormal"/>
    <w:tblPr>
      <w:tblStyleRowBandSize w:val="1"/>
      <w:tblStyleColBandSize w:val="1"/>
      <w:tblCellMar>
        <w:left w:w="0.0" w:type="dxa"/>
        <w:right w:w="0.0" w:type="dxa"/>
      </w:tblCellMar>
    </w:tblPr>
  </w:style>
  <w:style w:type="table" w:styleId="aa" w:customStyle="1">
    <w:basedOn w:val="TableNormal"/>
    <w:tblPr>
      <w:tblStyleRowBandSize w:val="1"/>
      <w:tblStyleColBandSize w:val="1"/>
      <w:tblCellMar>
        <w:left w:w="0.0" w:type="dxa"/>
        <w:right w:w="0.0" w:type="dxa"/>
      </w:tblCellMar>
    </w:tblPr>
  </w:style>
  <w:style w:type="table" w:styleId="ab" w:customStyle="1">
    <w:basedOn w:val="TableNormal"/>
    <w:tblPr>
      <w:tblStyleRowBandSize w:val="1"/>
      <w:tblStyleColBandSize w:val="1"/>
      <w:tblCellMar>
        <w:left w:w="0.0" w:type="dxa"/>
        <w:right w:w="0.0" w:type="dxa"/>
      </w:tblCellMar>
    </w:tblPr>
  </w:style>
  <w:style w:type="table" w:styleId="ac" w:customStyle="1">
    <w:basedOn w:val="TableNormal"/>
    <w:tblPr>
      <w:tblStyleRowBandSize w:val="1"/>
      <w:tblStyleColBandSize w:val="1"/>
      <w:tblCellMar>
        <w:left w:w="0.0" w:type="dxa"/>
        <w:right w:w="0.0" w:type="dxa"/>
      </w:tblCellMar>
    </w:tblPr>
  </w:style>
  <w:style w:type="table" w:styleId="ad" w:customStyle="1">
    <w:basedOn w:val="TableNormal"/>
    <w:tblPr>
      <w:tblStyleRowBandSize w:val="1"/>
      <w:tblStyleColBandSize w:val="1"/>
      <w:tblCellMar>
        <w:left w:w="0.0" w:type="dxa"/>
        <w:right w:w="0.0" w:type="dxa"/>
      </w:tblCellMar>
    </w:tblPr>
  </w:style>
  <w:style w:type="table" w:styleId="ae" w:customStyle="1">
    <w:basedOn w:val="TableNormal"/>
    <w:tblPr>
      <w:tblStyleRowBandSize w:val="1"/>
      <w:tblStyleColBandSize w:val="1"/>
      <w:tblCellMar>
        <w:left w:w="0.0" w:type="dxa"/>
        <w:right w:w="0.0" w:type="dxa"/>
      </w:tblCellMar>
    </w:tblPr>
  </w:style>
  <w:style w:type="table" w:styleId="af" w:customStyle="1">
    <w:basedOn w:val="TableNormal"/>
    <w:tblPr>
      <w:tblStyleRowBandSize w:val="1"/>
      <w:tblStyleColBandSize w:val="1"/>
      <w:tblCellMar>
        <w:left w:w="0.0" w:type="dxa"/>
        <w:right w:w="0.0" w:type="dxa"/>
      </w:tblCellMar>
    </w:tblPr>
  </w:style>
  <w:style w:type="character" w:styleId="Hyperlink">
    <w:name w:val="Hyperlink"/>
    <w:basedOn w:val="DefaultParagraphFont"/>
    <w:uiPriority w:val="99"/>
    <w:unhideWhenUsed w:val="1"/>
    <w:rsid w:val="00505A51"/>
    <w:rPr>
      <w:color w:val="0000ff" w:themeColor="hyperlink"/>
      <w:u w:val="single"/>
    </w:rPr>
  </w:style>
  <w:style w:type="paragraph" w:styleId="HSTitle0" w:customStyle="1">
    <w:name w:val="H&amp;S Title"/>
    <w:basedOn w:val="Normal"/>
    <w:link w:val="HSTitleChar"/>
    <w:rsid w:val="00505A51"/>
    <w:pPr>
      <w:jc w:val="center"/>
    </w:pPr>
    <w:rPr>
      <w:rFonts w:ascii="Open Sans" w:hAnsi="Open Sans"/>
      <w:b w:val="1"/>
      <w:bCs w:val="1"/>
      <w:sz w:val="56"/>
      <w:szCs w:val="50"/>
    </w:rPr>
  </w:style>
  <w:style w:type="paragraph" w:styleId="HSHeading" w:customStyle="1">
    <w:name w:val="H&amp;S Heading"/>
    <w:basedOn w:val="Normal"/>
    <w:link w:val="HSHeadingChar"/>
    <w:rsid w:val="00505A51"/>
    <w:pPr>
      <w:jc w:val="center"/>
    </w:pPr>
    <w:rPr>
      <w:bCs w:val="1"/>
      <w:sz w:val="32"/>
      <w:szCs w:val="32"/>
    </w:rPr>
  </w:style>
  <w:style w:type="character" w:styleId="HSTitleChar" w:customStyle="1">
    <w:name w:val="H&amp;S Title Char"/>
    <w:basedOn w:val="DefaultParagraphFont"/>
    <w:link w:val="HSTitle0"/>
    <w:rsid w:val="00505A51"/>
    <w:rPr>
      <w:rFonts w:ascii="Open Sans" w:hAnsi="Open Sans"/>
      <w:b w:val="1"/>
      <w:bCs w:val="1"/>
      <w:sz w:val="56"/>
      <w:szCs w:val="50"/>
    </w:rPr>
  </w:style>
  <w:style w:type="paragraph" w:styleId="HSBOdy" w:customStyle="1">
    <w:name w:val="H&amp;S BOdy"/>
    <w:basedOn w:val="Normal"/>
    <w:link w:val="HSBOdyChar"/>
    <w:rsid w:val="00505A51"/>
  </w:style>
  <w:style w:type="character" w:styleId="HSHeadingChar" w:customStyle="1">
    <w:name w:val="H&amp;S Heading Char"/>
    <w:basedOn w:val="DefaultParagraphFont"/>
    <w:link w:val="HSHeading"/>
    <w:rsid w:val="00505A51"/>
    <w:rPr>
      <w:bCs w:val="1"/>
      <w:sz w:val="32"/>
      <w:szCs w:val="32"/>
    </w:rPr>
  </w:style>
  <w:style w:type="paragraph" w:styleId="HS2heading" w:customStyle="1">
    <w:name w:val="H &amp; S 2 heading"/>
    <w:basedOn w:val="Normal"/>
    <w:link w:val="HS2headingChar"/>
    <w:rsid w:val="00505A51"/>
    <w:pPr>
      <w:jc w:val="center"/>
    </w:pPr>
    <w:rPr>
      <w:b w:val="1"/>
      <w:bCs w:val="1"/>
      <w:sz w:val="28"/>
      <w:szCs w:val="28"/>
    </w:rPr>
  </w:style>
  <w:style w:type="character" w:styleId="HSBOdyChar" w:customStyle="1">
    <w:name w:val="H&amp;S BOdy Char"/>
    <w:basedOn w:val="DefaultParagraphFont"/>
    <w:link w:val="HSBOdy"/>
    <w:rsid w:val="00505A51"/>
  </w:style>
  <w:style w:type="paragraph" w:styleId="HSTitle" w:customStyle="1">
    <w:name w:val="H/S Title"/>
    <w:basedOn w:val="Normal"/>
    <w:link w:val="HSTitleChar0"/>
    <w:rsid w:val="00505A51"/>
    <w:pPr>
      <w:jc w:val="center"/>
    </w:pPr>
    <w:rPr>
      <w:rFonts w:ascii="Open Sans" w:cs="Open Sans" w:hAnsi="Open Sans"/>
      <w:sz w:val="52"/>
      <w:szCs w:val="52"/>
    </w:rPr>
  </w:style>
  <w:style w:type="character" w:styleId="HS2headingChar" w:customStyle="1">
    <w:name w:val="H &amp; S 2 heading Char"/>
    <w:basedOn w:val="DefaultParagraphFont"/>
    <w:link w:val="HS2heading"/>
    <w:rsid w:val="00505A51"/>
    <w:rPr>
      <w:b w:val="1"/>
      <w:bCs w:val="1"/>
      <w:sz w:val="28"/>
      <w:szCs w:val="28"/>
    </w:rPr>
  </w:style>
  <w:style w:type="paragraph" w:styleId="HSH1" w:customStyle="1">
    <w:name w:val="H/S H1"/>
    <w:basedOn w:val="Normal"/>
    <w:link w:val="HSH1Char"/>
    <w:rsid w:val="00505A51"/>
    <w:rPr>
      <w:rFonts w:asciiTheme="minorHAnsi" w:cstheme="minorHAnsi" w:hAnsiTheme="minorHAnsi"/>
      <w:sz w:val="40"/>
      <w:szCs w:val="40"/>
    </w:rPr>
  </w:style>
  <w:style w:type="character" w:styleId="HSTitleChar0" w:customStyle="1">
    <w:name w:val="H/S Title Char"/>
    <w:basedOn w:val="DefaultParagraphFont"/>
    <w:link w:val="HSTitle"/>
    <w:rsid w:val="00505A51"/>
    <w:rPr>
      <w:rFonts w:ascii="Open Sans" w:cs="Open Sans" w:hAnsi="Open Sans"/>
      <w:sz w:val="52"/>
      <w:szCs w:val="52"/>
    </w:rPr>
  </w:style>
  <w:style w:type="paragraph" w:styleId="HSBody0" w:customStyle="1">
    <w:name w:val="H/S Body"/>
    <w:basedOn w:val="Normal"/>
    <w:link w:val="HSBodyChar0"/>
    <w:rsid w:val="00505A51"/>
  </w:style>
  <w:style w:type="character" w:styleId="HSH1Char" w:customStyle="1">
    <w:name w:val="H/S H1 Char"/>
    <w:basedOn w:val="DefaultParagraphFont"/>
    <w:link w:val="HSH1"/>
    <w:rsid w:val="00505A51"/>
    <w:rPr>
      <w:rFonts w:asciiTheme="minorHAnsi" w:cstheme="minorHAnsi" w:hAnsiTheme="minorHAnsi"/>
      <w:sz w:val="40"/>
      <w:szCs w:val="40"/>
    </w:rPr>
  </w:style>
  <w:style w:type="paragraph" w:styleId="HSH2" w:customStyle="1">
    <w:name w:val="H/S H2"/>
    <w:basedOn w:val="Normal"/>
    <w:link w:val="HSH2Char"/>
    <w:rsid w:val="00505A51"/>
    <w:pPr>
      <w:jc w:val="center"/>
    </w:pPr>
    <w:rPr>
      <w:sz w:val="32"/>
      <w:szCs w:val="32"/>
    </w:rPr>
  </w:style>
  <w:style w:type="character" w:styleId="HSBodyChar0" w:customStyle="1">
    <w:name w:val="H/S Body Char"/>
    <w:basedOn w:val="DefaultParagraphFont"/>
    <w:link w:val="HSBody0"/>
    <w:rsid w:val="00505A51"/>
  </w:style>
  <w:style w:type="paragraph" w:styleId="HSH3" w:customStyle="1">
    <w:name w:val="H/S H3"/>
    <w:basedOn w:val="Normal"/>
    <w:link w:val="HSH3Char"/>
    <w:rsid w:val="00505A51"/>
    <w:rPr>
      <w:sz w:val="28"/>
      <w:szCs w:val="28"/>
    </w:rPr>
  </w:style>
  <w:style w:type="character" w:styleId="HSH2Char" w:customStyle="1">
    <w:name w:val="H/S H2 Char"/>
    <w:basedOn w:val="DefaultParagraphFont"/>
    <w:link w:val="HSH2"/>
    <w:rsid w:val="00505A51"/>
    <w:rPr>
      <w:sz w:val="32"/>
      <w:szCs w:val="32"/>
    </w:rPr>
  </w:style>
  <w:style w:type="table" w:styleId="TableGrid">
    <w:name w:val="Table Grid"/>
    <w:basedOn w:val="TableNormal"/>
    <w:uiPriority w:val="39"/>
    <w:rsid w:val="00A070E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SH3Char" w:customStyle="1">
    <w:name w:val="H/S H3 Char"/>
    <w:basedOn w:val="DefaultParagraphFont"/>
    <w:link w:val="HSH3"/>
    <w:rsid w:val="00505A51"/>
    <w:rPr>
      <w:sz w:val="28"/>
      <w:szCs w:val="28"/>
    </w:rPr>
  </w:style>
  <w:style w:type="character" w:styleId="TitleChar" w:customStyle="1">
    <w:name w:val="Title Char"/>
    <w:basedOn w:val="DefaultParagraphFont"/>
    <w:link w:val="Title"/>
    <w:uiPriority w:val="10"/>
    <w:rsid w:val="00987236"/>
    <w:rPr>
      <w:rFonts w:ascii="Open Sans" w:cs="Open Sans" w:hAnsi="Open Sans"/>
      <w:sz w:val="52"/>
      <w:szCs w:val="52"/>
    </w:rPr>
  </w:style>
  <w:style w:type="paragraph" w:styleId="TOCHeading">
    <w:name w:val="TOC Heading"/>
    <w:basedOn w:val="Heading1"/>
    <w:next w:val="Normal"/>
    <w:uiPriority w:val="39"/>
    <w:unhideWhenUsed w:val="1"/>
    <w:qFormat w:val="1"/>
    <w:rsid w:val="00987236"/>
    <w:pPr>
      <w:keepNext w:val="1"/>
      <w:keepLines w:val="1"/>
      <w:widowControl w:val="1"/>
      <w:spacing w:before="240" w:line="259" w:lineRule="auto"/>
      <w:outlineLvl w:val="9"/>
    </w:pPr>
    <w:rPr>
      <w:rFonts w:asciiTheme="majorHAnsi" w:cstheme="majorBidi" w:eastAsiaTheme="majorEastAsia" w:hAnsiTheme="majorHAnsi"/>
      <w:b w:val="1"/>
      <w:bCs w:val="1"/>
      <w:color w:val="365f91" w:themeColor="accent1" w:themeShade="0000BF"/>
      <w:lang w:eastAsia="en-US"/>
    </w:rPr>
  </w:style>
  <w:style w:type="paragraph" w:styleId="TOC2">
    <w:name w:val="toc 2"/>
    <w:basedOn w:val="Normal"/>
    <w:next w:val="Normal"/>
    <w:autoRedefine w:val="1"/>
    <w:uiPriority w:val="39"/>
    <w:unhideWhenUsed w:val="1"/>
    <w:rsid w:val="00216F91"/>
    <w:pPr>
      <w:spacing w:before="120"/>
      <w:ind w:left="220"/>
    </w:pPr>
    <w:rPr>
      <w:rFonts w:asciiTheme="minorHAnsi" w:cstheme="minorHAnsi" w:hAnsiTheme="minorHAnsi"/>
      <w:i w:val="1"/>
      <w:iCs w:val="1"/>
      <w:sz w:val="20"/>
      <w:szCs w:val="20"/>
    </w:rPr>
  </w:style>
  <w:style w:type="paragraph" w:styleId="TOC3">
    <w:name w:val="toc 3"/>
    <w:basedOn w:val="Normal"/>
    <w:next w:val="Normal"/>
    <w:autoRedefine w:val="1"/>
    <w:uiPriority w:val="39"/>
    <w:unhideWhenUsed w:val="1"/>
    <w:rsid w:val="007D69D7"/>
    <w:pPr>
      <w:ind w:left="440"/>
    </w:pPr>
    <w:rPr>
      <w:rFonts w:asciiTheme="minorHAnsi" w:cstheme="minorHAnsi" w:hAnsiTheme="minorHAnsi"/>
      <w:sz w:val="20"/>
      <w:szCs w:val="20"/>
    </w:rPr>
  </w:style>
  <w:style w:type="paragraph" w:styleId="TOC4">
    <w:name w:val="toc 4"/>
    <w:basedOn w:val="Normal"/>
    <w:next w:val="Normal"/>
    <w:autoRedefine w:val="1"/>
    <w:uiPriority w:val="39"/>
    <w:unhideWhenUsed w:val="1"/>
    <w:rsid w:val="007D69D7"/>
    <w:pPr>
      <w:ind w:left="660"/>
    </w:pPr>
    <w:rPr>
      <w:rFonts w:asciiTheme="minorHAnsi" w:cstheme="minorHAnsi" w:hAnsiTheme="minorHAnsi"/>
      <w:sz w:val="20"/>
      <w:szCs w:val="20"/>
    </w:rPr>
  </w:style>
  <w:style w:type="paragraph" w:styleId="TOC5">
    <w:name w:val="toc 5"/>
    <w:basedOn w:val="Normal"/>
    <w:next w:val="Normal"/>
    <w:autoRedefine w:val="1"/>
    <w:uiPriority w:val="39"/>
    <w:unhideWhenUsed w:val="1"/>
    <w:rsid w:val="007D69D7"/>
    <w:pPr>
      <w:ind w:left="880"/>
    </w:pPr>
    <w:rPr>
      <w:rFonts w:asciiTheme="minorHAnsi" w:cstheme="minorHAnsi" w:hAnsiTheme="minorHAnsi"/>
      <w:sz w:val="20"/>
      <w:szCs w:val="20"/>
    </w:rPr>
  </w:style>
  <w:style w:type="paragraph" w:styleId="TOC6">
    <w:name w:val="toc 6"/>
    <w:basedOn w:val="Normal"/>
    <w:next w:val="Normal"/>
    <w:autoRedefine w:val="1"/>
    <w:uiPriority w:val="39"/>
    <w:unhideWhenUsed w:val="1"/>
    <w:rsid w:val="007D69D7"/>
    <w:pPr>
      <w:ind w:left="1100"/>
    </w:pPr>
    <w:rPr>
      <w:rFonts w:asciiTheme="minorHAnsi" w:cstheme="minorHAnsi" w:hAnsiTheme="minorHAnsi"/>
      <w:sz w:val="20"/>
      <w:szCs w:val="20"/>
    </w:rPr>
  </w:style>
  <w:style w:type="paragraph" w:styleId="TOC7">
    <w:name w:val="toc 7"/>
    <w:basedOn w:val="Normal"/>
    <w:next w:val="Normal"/>
    <w:autoRedefine w:val="1"/>
    <w:uiPriority w:val="39"/>
    <w:unhideWhenUsed w:val="1"/>
    <w:rsid w:val="007D69D7"/>
    <w:pPr>
      <w:ind w:left="1320"/>
    </w:pPr>
    <w:rPr>
      <w:rFonts w:asciiTheme="minorHAnsi" w:cstheme="minorHAnsi" w:hAnsiTheme="minorHAnsi"/>
      <w:sz w:val="20"/>
      <w:szCs w:val="20"/>
    </w:rPr>
  </w:style>
  <w:style w:type="paragraph" w:styleId="TOC8">
    <w:name w:val="toc 8"/>
    <w:basedOn w:val="Normal"/>
    <w:next w:val="Normal"/>
    <w:autoRedefine w:val="1"/>
    <w:uiPriority w:val="39"/>
    <w:unhideWhenUsed w:val="1"/>
    <w:rsid w:val="007D69D7"/>
    <w:pPr>
      <w:ind w:left="1540"/>
    </w:pPr>
    <w:rPr>
      <w:rFonts w:asciiTheme="minorHAnsi" w:cstheme="minorHAnsi" w:hAnsiTheme="minorHAnsi"/>
      <w:sz w:val="20"/>
      <w:szCs w:val="20"/>
    </w:rPr>
  </w:style>
  <w:style w:type="paragraph" w:styleId="TOC9">
    <w:name w:val="toc 9"/>
    <w:basedOn w:val="Normal"/>
    <w:next w:val="Normal"/>
    <w:autoRedefine w:val="1"/>
    <w:uiPriority w:val="39"/>
    <w:unhideWhenUsed w:val="1"/>
    <w:rsid w:val="007D69D7"/>
    <w:pPr>
      <w:ind w:left="1760"/>
    </w:pPr>
    <w:rPr>
      <w:rFonts w:asciiTheme="minorHAnsi" w:cstheme="minorHAnsi" w:hAnsiTheme="minorHAnsi"/>
      <w:sz w:val="20"/>
      <w:szCs w:val="20"/>
    </w:rPr>
  </w:style>
  <w:style w:type="character" w:styleId="UnresolvedMention">
    <w:name w:val="Unresolved Mention"/>
    <w:basedOn w:val="DefaultParagraphFont"/>
    <w:uiPriority w:val="99"/>
    <w:semiHidden w:val="1"/>
    <w:unhideWhenUsed w:val="1"/>
    <w:rsid w:val="007D69D7"/>
    <w:rPr>
      <w:color w:val="605e5c"/>
      <w:shd w:color="auto" w:fill="e1dfdd" w:val="clear"/>
    </w:rPr>
  </w:style>
  <w:style w:type="paragraph" w:styleId="NoSpacing">
    <w:name w:val="No Spacing"/>
    <w:uiPriority w:val="1"/>
    <w:qFormat w:val="1"/>
    <w:rsid w:val="00D1450A"/>
    <w:pPr>
      <w:widowControl w:val="1"/>
    </w:pPr>
    <w:rPr>
      <w:rFonts w:ascii="Franklin Gothic Book" w:cs="Times New Roman" w:eastAsia="Times New Roman" w:hAnsi="Franklin Gothic Book"/>
      <w:szCs w:val="20"/>
      <w:lang w:eastAsia="en-US"/>
    </w:rPr>
  </w:style>
  <w:style w:type="paragraph" w:styleId="num1" w:customStyle="1">
    <w:name w:val="num1"/>
    <w:basedOn w:val="Normal"/>
    <w:rsid w:val="00AA317E"/>
    <w:pPr>
      <w:widowControl w:val="1"/>
      <w:overflowPunct w:val="0"/>
      <w:autoSpaceDE w:val="0"/>
      <w:autoSpaceDN w:val="0"/>
      <w:adjustRightInd w:val="0"/>
      <w:spacing w:after="120" w:before="120"/>
      <w:ind w:left="432" w:hanging="432"/>
    </w:pPr>
    <w:rPr>
      <w:rFonts w:ascii="Arial" w:cs="Times New Roman" w:eastAsia="Times New Roman" w:hAnsi="Arial"/>
      <w:b w:val="1"/>
      <w:szCs w:val="20"/>
      <w:u w:val="single"/>
      <w:lang w:eastAsia="en-US"/>
    </w:rPr>
  </w:style>
  <w:style w:type="table" w:styleId="af0" w:customStyle="1">
    <w:basedOn w:val="TableNormal"/>
    <w:tblPr>
      <w:tblStyleRowBandSize w:val="1"/>
      <w:tblStyleColBandSize w:val="1"/>
      <w:tblCellMar>
        <w:left w:w="0.0" w:type="dxa"/>
        <w:right w:w="0.0" w:type="dxa"/>
      </w:tblCellMar>
    </w:tblPr>
  </w:style>
  <w:style w:type="table" w:styleId="af1" w:customStyle="1">
    <w:basedOn w:val="TableNormal"/>
    <w:tblPr>
      <w:tblStyleRowBandSize w:val="1"/>
      <w:tblStyleColBandSize w:val="1"/>
      <w:tblCellMar>
        <w:left w:w="0.0" w:type="dxa"/>
        <w:right w:w="0.0" w:type="dxa"/>
      </w:tblCellMar>
    </w:tblPr>
  </w:style>
  <w:style w:type="table" w:styleId="af2" w:customStyle="1">
    <w:basedOn w:val="TableNormal"/>
    <w:tblPr>
      <w:tblStyleRowBandSize w:val="1"/>
      <w:tblStyleColBandSize w:val="1"/>
      <w:tblCellMar>
        <w:left w:w="0.0" w:type="dxa"/>
        <w:right w:w="0.0" w:type="dxa"/>
      </w:tblCellMar>
    </w:tblPr>
  </w:style>
  <w:style w:type="table" w:styleId="af3" w:customStyle="1">
    <w:basedOn w:val="TableNormal"/>
    <w:tblPr>
      <w:tblStyleRowBandSize w:val="1"/>
      <w:tblStyleColBandSize w:val="1"/>
      <w:tblCellMar>
        <w:left w:w="0.0" w:type="dxa"/>
        <w:right w:w="0.0" w:type="dxa"/>
      </w:tblCellMar>
    </w:tblPr>
  </w:style>
  <w:style w:type="table" w:styleId="af4" w:customStyle="1">
    <w:basedOn w:val="TableNormal"/>
    <w:tblPr>
      <w:tblStyleRowBandSize w:val="1"/>
      <w:tblStyleColBandSize w:val="1"/>
      <w:tblCellMar>
        <w:top w:w="30.0" w:type="dxa"/>
        <w:left w:w="30.0" w:type="dxa"/>
        <w:bottom w:w="30.0" w:type="dxa"/>
        <w:right w:w="30.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0.0" w:type="dxa"/>
        <w:right w:w="0.0" w:type="dxa"/>
      </w:tblCellMar>
    </w:tblPr>
  </w:style>
  <w:style w:type="table" w:styleId="af7" w:customStyle="1">
    <w:basedOn w:val="TableNormal"/>
    <w:tblPr>
      <w:tblStyleRowBandSize w:val="1"/>
      <w:tblStyleColBandSize w:val="1"/>
      <w:tblCellMar>
        <w:left w:w="0.0" w:type="dxa"/>
        <w:right w:w="0.0" w:type="dxa"/>
      </w:tblCellMar>
    </w:tblPr>
  </w:style>
  <w:style w:type="table" w:styleId="af8" w:customStyle="1">
    <w:basedOn w:val="TableNormal"/>
    <w:tblPr>
      <w:tblStyleRowBandSize w:val="1"/>
      <w:tblStyleColBandSize w:val="1"/>
      <w:tblCellMar>
        <w:left w:w="0.0" w:type="dxa"/>
        <w:right w:w="0.0" w:type="dxa"/>
      </w:tblCellMar>
    </w:tblPr>
  </w:style>
  <w:style w:type="table" w:styleId="af9" w:customStyle="1">
    <w:basedOn w:val="TableNormal"/>
    <w:tblPr>
      <w:tblStyleRowBandSize w:val="1"/>
      <w:tblStyleColBandSize w:val="1"/>
      <w:tblCellMar>
        <w:left w:w="0.0" w:type="dxa"/>
        <w:right w:w="0.0" w:type="dxa"/>
      </w:tblCellMar>
    </w:tblPr>
  </w:style>
  <w:style w:type="table" w:styleId="afa" w:customStyle="1">
    <w:basedOn w:val="TableNormal"/>
    <w:tblPr>
      <w:tblStyleRowBandSize w:val="1"/>
      <w:tblStyleColBandSize w:val="1"/>
      <w:tblCellMar>
        <w:left w:w="0.0" w:type="dxa"/>
        <w:right w:w="0.0" w:type="dxa"/>
      </w:tblCellMar>
    </w:tblPr>
  </w:style>
  <w:style w:type="table" w:styleId="afb" w:customStyle="1">
    <w:basedOn w:val="TableNormal"/>
    <w:tblPr>
      <w:tblStyleRowBandSize w:val="1"/>
      <w:tblStyleColBandSize w:val="1"/>
      <w:tblCellMar>
        <w:top w:w="15.0" w:type="dxa"/>
        <w:left w:w="15.0" w:type="dxa"/>
        <w:bottom w:w="15.0" w:type="dxa"/>
        <w:right w:w="15.0" w:type="dxa"/>
      </w:tblCellMar>
    </w:tblPr>
  </w:style>
  <w:style w:type="table" w:styleId="afc" w:customStyle="1">
    <w:basedOn w:val="TableNormal"/>
    <w:tblPr>
      <w:tblStyleRowBandSize w:val="1"/>
      <w:tblStyleColBandSize w:val="1"/>
      <w:tblCellMar>
        <w:left w:w="0.0" w:type="dxa"/>
        <w:right w:w="0.0" w:type="dxa"/>
      </w:tblCellMar>
    </w:tblPr>
  </w:style>
  <w:style w:type="table" w:styleId="afd" w:customStyle="1">
    <w:basedOn w:val="TableNormal"/>
    <w:tblPr>
      <w:tblStyleRowBandSize w:val="1"/>
      <w:tblStyleColBandSize w:val="1"/>
      <w:tblCellMar>
        <w:left w:w="10.0" w:type="dxa"/>
        <w:right w:w="10.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tblPr>
      <w:tblStyleRowBandSize w:val="1"/>
      <w:tblStyleColBandSize w:val="1"/>
      <w:tblCellMar>
        <w:left w:w="0.0" w:type="dxa"/>
        <w:right w:w="0.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tblPr>
      <w:tblStyleRowBandSize w:val="1"/>
      <w:tblStyleColBandSize w:val="1"/>
      <w:tblCellMar>
        <w:left w:w="0.0" w:type="dxa"/>
        <w:right w:w="0.0" w:type="dxa"/>
      </w:tblCellMar>
    </w:tblPr>
  </w:style>
  <w:style w:type="table" w:styleId="aff6" w:customStyle="1">
    <w:basedOn w:val="TableNormal"/>
    <w:tblPr>
      <w:tblStyleRowBandSize w:val="1"/>
      <w:tblStyleColBandSize w:val="1"/>
      <w:tblCellMar>
        <w:left w:w="0.0" w:type="dxa"/>
        <w:right w:w="0.0" w:type="dxa"/>
      </w:tblCellMar>
    </w:tblPr>
  </w:style>
  <w:style w:type="table" w:styleId="aff7" w:customStyle="1">
    <w:basedOn w:val="TableNormal"/>
    <w:tblPr>
      <w:tblStyleRowBandSize w:val="1"/>
      <w:tblStyleColBandSize w:val="1"/>
      <w:tblCellMar>
        <w:left w:w="115.0" w:type="dxa"/>
        <w:right w:w="115.0" w:type="dxa"/>
      </w:tblCellMar>
    </w:tblPr>
  </w:style>
  <w:style w:type="table" w:styleId="aff8" w:customStyle="1">
    <w:basedOn w:val="TableNormal"/>
    <w:tblPr>
      <w:tblStyleRowBandSize w:val="1"/>
      <w:tblStyleColBandSize w:val="1"/>
      <w:tblCellMar>
        <w:left w:w="115.0" w:type="dxa"/>
        <w:right w:w="115.0" w:type="dxa"/>
      </w:tblCellMar>
    </w:tblPr>
  </w:style>
  <w:style w:type="table" w:styleId="aff9" w:customStyle="1">
    <w:basedOn w:val="TableNormal"/>
    <w:tblPr>
      <w:tblStyleRowBandSize w:val="1"/>
      <w:tblStyleColBandSize w:val="1"/>
      <w:tblCellMar>
        <w:left w:w="0.0" w:type="dxa"/>
        <w:right w:w="0.0" w:type="dxa"/>
      </w:tblCellMar>
    </w:tblPr>
  </w:style>
  <w:style w:type="table" w:styleId="affa" w:customStyle="1">
    <w:basedOn w:val="TableNormal"/>
    <w:tblPr>
      <w:tblStyleRowBandSize w:val="1"/>
      <w:tblStyleColBandSize w:val="1"/>
      <w:tblCellMar>
        <w:left w:w="0.0" w:type="dxa"/>
        <w:right w:w="0.0" w:type="dxa"/>
      </w:tblCellMar>
    </w:tblPr>
  </w:style>
  <w:style w:type="table" w:styleId="affb" w:customStyle="1">
    <w:basedOn w:val="TableNormal"/>
    <w:tblPr>
      <w:tblStyleRowBandSize w:val="1"/>
      <w:tblStyleColBandSize w:val="1"/>
      <w:tblCellMar>
        <w:left w:w="0.0" w:type="dxa"/>
        <w:right w:w="0.0" w:type="dxa"/>
      </w:tblCellMar>
    </w:tblPr>
  </w:style>
  <w:style w:type="table" w:styleId="affc" w:customStyle="1">
    <w:basedOn w:val="TableNormal"/>
    <w:tblPr>
      <w:tblStyleRowBandSize w:val="1"/>
      <w:tblStyleColBandSize w:val="1"/>
      <w:tblCellMar>
        <w:left w:w="115.0" w:type="dxa"/>
        <w:right w:w="115.0" w:type="dxa"/>
      </w:tblCellMar>
    </w:tblPr>
  </w:style>
  <w:style w:type="table" w:styleId="affd" w:customStyle="1">
    <w:basedOn w:val="TableNormal"/>
    <w:tblPr>
      <w:tblStyleRowBandSize w:val="1"/>
      <w:tblStyleColBandSize w:val="1"/>
      <w:tblCellMar>
        <w:left w:w="115.0" w:type="dxa"/>
        <w:right w:w="115.0" w:type="dxa"/>
      </w:tblCellMar>
    </w:tblPr>
  </w:style>
  <w:style w:type="table" w:styleId="affe" w:customStyle="1">
    <w:basedOn w:val="TableNormal"/>
    <w:tblPr>
      <w:tblStyleRowBandSize w:val="1"/>
      <w:tblStyleColBandSize w:val="1"/>
      <w:tblCellMar>
        <w:left w:w="115.0" w:type="dxa"/>
        <w:right w:w="115.0" w:type="dxa"/>
      </w:tblCellMar>
    </w:tblPr>
  </w:style>
  <w:style w:type="table" w:styleId="afff" w:customStyle="1">
    <w:basedOn w:val="TableNormal"/>
    <w:tblPr>
      <w:tblStyleRowBandSize w:val="1"/>
      <w:tblStyleColBandSize w:val="1"/>
      <w:tblCellMar>
        <w:left w:w="115.0" w:type="dxa"/>
        <w:right w:w="115.0" w:type="dxa"/>
      </w:tblCellMar>
    </w:tblPr>
  </w:style>
  <w:style w:type="table" w:styleId="afff0" w:customStyle="1">
    <w:basedOn w:val="TableNormal"/>
    <w:tblPr>
      <w:tblStyleRowBandSize w:val="1"/>
      <w:tblStyleColBandSize w:val="1"/>
      <w:tblCellMar>
        <w:left w:w="115.0" w:type="dxa"/>
        <w:right w:w="115.0" w:type="dxa"/>
      </w:tblCellMar>
    </w:tblPr>
  </w:style>
  <w:style w:type="table" w:styleId="afff1" w:customStyle="1">
    <w:basedOn w:val="TableNormal"/>
    <w:tblPr>
      <w:tblStyleRowBandSize w:val="1"/>
      <w:tblStyleColBandSize w:val="1"/>
      <w:tblCellMar>
        <w:left w:w="115.0" w:type="dxa"/>
        <w:right w:w="115.0" w:type="dxa"/>
      </w:tblCellMar>
    </w:tblPr>
  </w:style>
  <w:style w:type="table" w:styleId="afff2" w:customStyle="1">
    <w:basedOn w:val="TableNormal"/>
    <w:tblPr>
      <w:tblStyleRowBandSize w:val="1"/>
      <w:tblStyleColBandSize w:val="1"/>
      <w:tblCellMar>
        <w:left w:w="115.0" w:type="dxa"/>
        <w:right w:w="115.0" w:type="dxa"/>
      </w:tblCellMar>
    </w:tblPr>
  </w:style>
  <w:style w:type="table" w:styleId="afff3" w:customStyle="1">
    <w:basedOn w:val="TableNormal"/>
    <w:tblPr>
      <w:tblStyleRowBandSize w:val="1"/>
      <w:tblStyleColBandSize w:val="1"/>
      <w:tblCellMar>
        <w:left w:w="115.0" w:type="dxa"/>
        <w:right w:w="115.0" w:type="dxa"/>
      </w:tblCellMar>
    </w:tblPr>
  </w:style>
  <w:style w:type="table" w:styleId="afff4" w:customStyle="1">
    <w:basedOn w:val="TableNormal"/>
    <w:tblPr>
      <w:tblStyleRowBandSize w:val="1"/>
      <w:tblStyleColBandSize w:val="1"/>
      <w:tblCellMar>
        <w:left w:w="115.0" w:type="dxa"/>
        <w:right w:w="115.0" w:type="dxa"/>
      </w:tblCellMar>
    </w:tblPr>
  </w:style>
  <w:style w:type="table" w:styleId="afff5" w:customStyle="1">
    <w:basedOn w:val="TableNormal"/>
    <w:tblPr>
      <w:tblStyleRowBandSize w:val="1"/>
      <w:tblStyleColBandSize w:val="1"/>
      <w:tblCellMar>
        <w:left w:w="115.0" w:type="dxa"/>
        <w:right w:w="115.0" w:type="dxa"/>
      </w:tblCellMar>
    </w:tblPr>
  </w:style>
  <w:style w:type="table" w:styleId="afff6" w:customStyle="1">
    <w:basedOn w:val="TableNormal"/>
    <w:tblPr>
      <w:tblStyleRowBandSize w:val="1"/>
      <w:tblStyleColBandSize w:val="1"/>
      <w:tblCellMar>
        <w:left w:w="115.0" w:type="dxa"/>
        <w:right w:w="115.0" w:type="dxa"/>
      </w:tblCellMar>
    </w:tblPr>
  </w:style>
  <w:style w:type="table" w:styleId="afff7" w:customStyle="1">
    <w:basedOn w:val="TableNormal"/>
    <w:tblPr>
      <w:tblStyleRowBandSize w:val="1"/>
      <w:tblStyleColBandSize w:val="1"/>
      <w:tblCellMar>
        <w:left w:w="115.0" w:type="dxa"/>
        <w:right w:w="115.0" w:type="dxa"/>
      </w:tblCellMar>
    </w:tblPr>
  </w:style>
  <w:style w:type="table" w:styleId="afff8" w:customStyle="1">
    <w:basedOn w:val="TableNormal"/>
    <w:tblPr>
      <w:tblStyleRowBandSize w:val="1"/>
      <w:tblStyleColBandSize w:val="1"/>
      <w:tblCellMar>
        <w:left w:w="115.0" w:type="dxa"/>
        <w:right w:w="115.0" w:type="dxa"/>
      </w:tblCellMar>
    </w:tblPr>
  </w:style>
  <w:style w:type="table" w:styleId="afff9" w:customStyle="1">
    <w:basedOn w:val="TableNormal"/>
    <w:tblPr>
      <w:tblStyleRowBandSize w:val="1"/>
      <w:tblStyleColBandSize w:val="1"/>
      <w:tblCellMar>
        <w:left w:w="10.0" w:type="dxa"/>
        <w:right w:w="10.0" w:type="dxa"/>
      </w:tblCellMar>
    </w:tblPr>
  </w:style>
  <w:style w:type="table" w:styleId="afffa" w:customStyle="1">
    <w:basedOn w:val="TableNormal"/>
    <w:tblPr>
      <w:tblStyleRowBandSize w:val="1"/>
      <w:tblStyleColBandSize w:val="1"/>
      <w:tblCellMar>
        <w:left w:w="10.0" w:type="dxa"/>
        <w:right w:w="10.0" w:type="dxa"/>
      </w:tblCellMar>
    </w:tblPr>
  </w:style>
  <w:style w:type="table" w:styleId="afffb" w:customStyle="1">
    <w:basedOn w:val="TableNormal"/>
    <w:tblPr>
      <w:tblStyleRowBandSize w:val="1"/>
      <w:tblStyleColBandSize w:val="1"/>
      <w:tblCellMar>
        <w:left w:w="0.0" w:type="dxa"/>
        <w:right w:w="0.0" w:type="dxa"/>
      </w:tblCellMar>
    </w:tblPr>
  </w:style>
  <w:style w:type="table" w:styleId="afffc" w:customStyle="1">
    <w:basedOn w:val="TableNormal"/>
    <w:tblPr>
      <w:tblStyleRowBandSize w:val="1"/>
      <w:tblStyleColBandSize w:val="1"/>
      <w:tblCellMar>
        <w:left w:w="0.0" w:type="dxa"/>
        <w:right w:w="0.0" w:type="dxa"/>
      </w:tblCellMar>
    </w:tblPr>
  </w:style>
  <w:style w:type="table" w:styleId="afffd" w:customStyle="1">
    <w:basedOn w:val="TableNormal"/>
    <w:tblPr>
      <w:tblStyleRowBandSize w:val="1"/>
      <w:tblStyleColBandSize w:val="1"/>
      <w:tblCellMar>
        <w:left w:w="0.0" w:type="dxa"/>
        <w:right w:w="0.0" w:type="dxa"/>
      </w:tblCellMar>
    </w:tblPr>
  </w:style>
  <w:style w:type="table" w:styleId="afffe" w:customStyle="1">
    <w:basedOn w:val="TableNormal"/>
    <w:tblPr>
      <w:tblStyleRowBandSize w:val="1"/>
      <w:tblStyleColBandSize w:val="1"/>
      <w:tblCellMar>
        <w:left w:w="0.0" w:type="dxa"/>
        <w:right w:w="0.0" w:type="dxa"/>
      </w:tblCellMar>
    </w:tblPr>
  </w:style>
  <w:style w:type="table" w:styleId="affff" w:customStyle="1">
    <w:basedOn w:val="TableNormal"/>
    <w:tblPr>
      <w:tblStyleRowBandSize w:val="1"/>
      <w:tblStyleColBandSize w:val="1"/>
      <w:tblCellMar>
        <w:left w:w="0.0" w:type="dxa"/>
        <w:right w:w="0.0" w:type="dxa"/>
      </w:tblCellMar>
    </w:tblPr>
  </w:style>
  <w:style w:type="table" w:styleId="affff0" w:customStyle="1">
    <w:basedOn w:val="TableNormal"/>
    <w:tblPr>
      <w:tblStyleRowBandSize w:val="1"/>
      <w:tblStyleColBandSize w:val="1"/>
      <w:tblCellMar>
        <w:left w:w="0.0" w:type="dxa"/>
        <w:right w:w="0.0" w:type="dxa"/>
      </w:tblCellMar>
    </w:tblPr>
  </w:style>
  <w:style w:type="table" w:styleId="affff1" w:customStyle="1">
    <w:basedOn w:val="TableNormal"/>
    <w:tblPr>
      <w:tblStyleRowBandSize w:val="1"/>
      <w:tblStyleColBandSize w:val="1"/>
      <w:tblCellMar>
        <w:left w:w="0.0" w:type="dxa"/>
        <w:right w:w="0.0" w:type="dxa"/>
      </w:tblCellMar>
    </w:tblPr>
  </w:style>
  <w:style w:type="table" w:styleId="affff2" w:customStyle="1">
    <w:basedOn w:val="TableNormal"/>
    <w:tblPr>
      <w:tblStyleRowBandSize w:val="1"/>
      <w:tblStyleColBandSize w:val="1"/>
      <w:tblCellMar>
        <w:left w:w="0.0" w:type="dxa"/>
        <w:right w:w="0.0" w:type="dxa"/>
      </w:tblCellMar>
    </w:tblPr>
  </w:style>
  <w:style w:type="table" w:styleId="affff3" w:customStyle="1">
    <w:basedOn w:val="TableNormal"/>
    <w:tblPr>
      <w:tblStyleRowBandSize w:val="1"/>
      <w:tblStyleColBandSize w:val="1"/>
      <w:tblCellMar>
        <w:left w:w="0.0" w:type="dxa"/>
        <w:right w:w="0.0" w:type="dxa"/>
      </w:tblCellMar>
    </w:tblPr>
  </w:style>
  <w:style w:type="table" w:styleId="affff4" w:customStyle="1">
    <w:basedOn w:val="TableNormal"/>
    <w:tblPr>
      <w:tblStyleRowBandSize w:val="1"/>
      <w:tblStyleColBandSize w:val="1"/>
      <w:tblCellMar>
        <w:left w:w="0.0" w:type="dxa"/>
        <w:right w:w="0.0" w:type="dxa"/>
      </w:tblCellMar>
    </w:tblPr>
  </w:style>
  <w:style w:type="table" w:styleId="affff5" w:customStyle="1">
    <w:basedOn w:val="TableNormal"/>
    <w:tblPr>
      <w:tblStyleRowBandSize w:val="1"/>
      <w:tblStyleColBandSize w:val="1"/>
      <w:tblCellMar>
        <w:left w:w="0.0" w:type="dxa"/>
        <w:right w:w="0.0" w:type="dxa"/>
      </w:tblCellMar>
    </w:tblPr>
  </w:style>
  <w:style w:type="table" w:styleId="affff6" w:customStyle="1">
    <w:basedOn w:val="TableNormal"/>
    <w:tblPr>
      <w:tblStyleRowBandSize w:val="1"/>
      <w:tblStyleColBandSize w:val="1"/>
      <w:tblCellMar>
        <w:left w:w="0.0" w:type="dxa"/>
        <w:right w:w="0.0" w:type="dxa"/>
      </w:tblCellMar>
    </w:tblPr>
  </w:style>
  <w:style w:type="table" w:styleId="affff7" w:customStyle="1">
    <w:basedOn w:val="TableNormal"/>
    <w:tblPr>
      <w:tblStyleRowBandSize w:val="1"/>
      <w:tblStyleColBandSize w:val="1"/>
      <w:tblCellMar>
        <w:left w:w="0.0" w:type="dxa"/>
        <w:right w:w="0.0" w:type="dxa"/>
      </w:tblCellMar>
    </w:tblPr>
  </w:style>
  <w:style w:type="table" w:styleId="affff8" w:customStyle="1">
    <w:basedOn w:val="TableNormal"/>
    <w:tblPr>
      <w:tblStyleRowBandSize w:val="1"/>
      <w:tblStyleColBandSize w:val="1"/>
      <w:tblCellMar>
        <w:left w:w="0.0" w:type="dxa"/>
        <w:right w:w="0.0" w:type="dxa"/>
      </w:tblCellMar>
    </w:tblPr>
  </w:style>
  <w:style w:type="table" w:styleId="affff9" w:customStyle="1">
    <w:basedOn w:val="TableNormal"/>
    <w:tblPr>
      <w:tblStyleRowBandSize w:val="1"/>
      <w:tblStyleColBandSize w:val="1"/>
      <w:tblCellMar>
        <w:left w:w="0.0" w:type="dxa"/>
        <w:right w:w="0.0" w:type="dxa"/>
      </w:tblCellMar>
    </w:tblPr>
  </w:style>
  <w:style w:type="table" w:styleId="affffa" w:customStyle="1">
    <w:basedOn w:val="TableNormal"/>
    <w:tblPr>
      <w:tblStyleRowBandSize w:val="1"/>
      <w:tblStyleColBandSize w:val="1"/>
      <w:tblCellMar>
        <w:left w:w="0.0" w:type="dxa"/>
        <w:right w:w="0.0" w:type="dxa"/>
      </w:tblCellMar>
    </w:tblPr>
  </w:style>
  <w:style w:type="table" w:styleId="affffb" w:customStyle="1">
    <w:basedOn w:val="TableNormal"/>
    <w:tblPr>
      <w:tblStyleRowBandSize w:val="1"/>
      <w:tblStyleColBandSize w:val="1"/>
      <w:tblCellMar>
        <w:left w:w="0.0" w:type="dxa"/>
        <w:right w:w="0.0" w:type="dxa"/>
      </w:tblCellMar>
    </w:tblPr>
  </w:style>
  <w:style w:type="table" w:styleId="affffc" w:customStyle="1">
    <w:basedOn w:val="TableNormal"/>
    <w:tblPr>
      <w:tblStyleRowBandSize w:val="1"/>
      <w:tblStyleColBandSize w:val="1"/>
      <w:tblCellMar>
        <w:left w:w="0.0" w:type="dxa"/>
        <w:right w:w="0.0" w:type="dxa"/>
      </w:tblCellMar>
    </w:tblPr>
  </w:style>
  <w:style w:type="table" w:styleId="affffd" w:customStyle="1">
    <w:basedOn w:val="TableNormal"/>
    <w:tblPr>
      <w:tblStyleRowBandSize w:val="1"/>
      <w:tblStyleColBandSize w:val="1"/>
      <w:tblCellMar>
        <w:left w:w="0.0" w:type="dxa"/>
        <w:right w:w="0.0" w:type="dxa"/>
      </w:tblCellMar>
    </w:tblPr>
  </w:style>
  <w:style w:type="table" w:styleId="affffe" w:customStyle="1">
    <w:basedOn w:val="TableNormal"/>
    <w:tblPr>
      <w:tblStyleRowBandSize w:val="1"/>
      <w:tblStyleColBandSize w:val="1"/>
      <w:tblCellMar>
        <w:left w:w="0.0" w:type="dxa"/>
        <w:right w:w="0.0" w:type="dxa"/>
      </w:tblCellMar>
    </w:tblPr>
  </w:style>
  <w:style w:type="table" w:styleId="afffff" w:customStyle="1">
    <w:basedOn w:val="TableNormal"/>
    <w:tblPr>
      <w:tblStyleRowBandSize w:val="1"/>
      <w:tblStyleColBandSize w:val="1"/>
      <w:tblCellMar>
        <w:left w:w="0.0" w:type="dxa"/>
        <w:right w:w="0.0" w:type="dxa"/>
      </w:tblCellMar>
    </w:tblPr>
  </w:style>
  <w:style w:type="table" w:styleId="afffff0" w:customStyle="1">
    <w:basedOn w:val="TableNormal"/>
    <w:tblPr>
      <w:tblStyleRowBandSize w:val="1"/>
      <w:tblStyleColBandSize w:val="1"/>
      <w:tblCellMar>
        <w:left w:w="0.0" w:type="dxa"/>
        <w:right w:w="0.0" w:type="dxa"/>
      </w:tblCellMar>
    </w:tblPr>
  </w:style>
  <w:style w:type="table" w:styleId="afffff1" w:customStyle="1">
    <w:basedOn w:val="TableNormal"/>
    <w:tblPr>
      <w:tblStyleRowBandSize w:val="1"/>
      <w:tblStyleColBandSize w:val="1"/>
      <w:tblCellMar>
        <w:left w:w="0.0" w:type="dxa"/>
        <w:right w:w="0.0" w:type="dxa"/>
      </w:tblCellMar>
    </w:tblPr>
  </w:style>
  <w:style w:type="table" w:styleId="afffff2" w:customStyle="1">
    <w:basedOn w:val="TableNormal"/>
    <w:tblPr>
      <w:tblStyleRowBandSize w:val="1"/>
      <w:tblStyleColBandSize w:val="1"/>
      <w:tblCellMar>
        <w:left w:w="0.0" w:type="dxa"/>
        <w:right w:w="0.0" w:type="dxa"/>
      </w:tblCellMar>
    </w:tblPr>
  </w:style>
  <w:style w:type="table" w:styleId="afffff3" w:customStyle="1">
    <w:basedOn w:val="TableNormal"/>
    <w:tblPr>
      <w:tblStyleRowBandSize w:val="1"/>
      <w:tblStyleColBandSize w:val="1"/>
      <w:tblCellMar>
        <w:left w:w="0.0" w:type="dxa"/>
        <w:right w:w="0.0" w:type="dxa"/>
      </w:tblCellMar>
    </w:tblPr>
  </w:style>
  <w:style w:type="table" w:styleId="afffff4" w:customStyle="1">
    <w:basedOn w:val="TableNormal"/>
    <w:tblPr>
      <w:tblStyleRowBandSize w:val="1"/>
      <w:tblStyleColBandSize w:val="1"/>
      <w:tblCellMar>
        <w:left w:w="0.0" w:type="dxa"/>
        <w:right w:w="0.0" w:type="dxa"/>
      </w:tblCellMar>
    </w:tblPr>
  </w:style>
  <w:style w:type="table" w:styleId="afffff5" w:customStyle="1">
    <w:basedOn w:val="TableNormal"/>
    <w:tblPr>
      <w:tblStyleRowBandSize w:val="1"/>
      <w:tblStyleColBandSize w:val="1"/>
      <w:tblCellMar>
        <w:left w:w="0.0" w:type="dxa"/>
        <w:right w:w="0.0" w:type="dxa"/>
      </w:tblCellMar>
    </w:tblPr>
  </w:style>
  <w:style w:type="table" w:styleId="afffff6" w:customStyle="1">
    <w:basedOn w:val="TableNormal"/>
    <w:tblPr>
      <w:tblStyleRowBandSize w:val="1"/>
      <w:tblStyleColBandSize w:val="1"/>
      <w:tblCellMar>
        <w:left w:w="0.0" w:type="dxa"/>
        <w:right w:w="0.0" w:type="dxa"/>
      </w:tblCellMar>
    </w:tblPr>
  </w:style>
  <w:style w:type="table" w:styleId="afffff7" w:customStyle="1">
    <w:basedOn w:val="TableNormal"/>
    <w:tblPr>
      <w:tblStyleRowBandSize w:val="1"/>
      <w:tblStyleColBandSize w:val="1"/>
      <w:tblCellMar>
        <w:left w:w="0.0" w:type="dxa"/>
        <w:right w:w="0.0" w:type="dxa"/>
      </w:tblCellMar>
    </w:tblPr>
  </w:style>
  <w:style w:type="table" w:styleId="afffff8" w:customStyle="1">
    <w:basedOn w:val="TableNormal"/>
    <w:tblPr>
      <w:tblStyleRowBandSize w:val="1"/>
      <w:tblStyleColBandSize w:val="1"/>
      <w:tblCellMar>
        <w:left w:w="0.0" w:type="dxa"/>
        <w:right w:w="0.0" w:type="dxa"/>
      </w:tblCellMar>
    </w:tblPr>
  </w:style>
  <w:style w:type="table" w:styleId="afffff9" w:customStyle="1">
    <w:basedOn w:val="TableNormal"/>
    <w:tblPr>
      <w:tblStyleRowBandSize w:val="1"/>
      <w:tblStyleColBandSize w:val="1"/>
      <w:tblCellMar>
        <w:left w:w="0.0" w:type="dxa"/>
        <w:right w:w="0.0" w:type="dxa"/>
      </w:tblCellMar>
    </w:tblPr>
  </w:style>
  <w:style w:type="table" w:styleId="afffffa" w:customStyle="1">
    <w:basedOn w:val="TableNormal"/>
    <w:tblPr>
      <w:tblStyleRowBandSize w:val="1"/>
      <w:tblStyleColBandSize w:val="1"/>
      <w:tblCellMar>
        <w:left w:w="0.0" w:type="dxa"/>
        <w:right w:w="0.0" w:type="dxa"/>
      </w:tblCellMar>
    </w:tblPr>
  </w:style>
  <w:style w:type="table" w:styleId="afffffb" w:customStyle="1">
    <w:basedOn w:val="TableNormal"/>
    <w:tblPr>
      <w:tblStyleRowBandSize w:val="1"/>
      <w:tblStyleColBandSize w:val="1"/>
      <w:tblCellMar>
        <w:left w:w="0.0" w:type="dxa"/>
        <w:right w:w="0.0" w:type="dxa"/>
      </w:tblCellMar>
    </w:tblPr>
  </w:style>
  <w:style w:type="table" w:styleId="afffffc" w:customStyle="1">
    <w:basedOn w:val="TableNormal"/>
    <w:tblPr>
      <w:tblStyleRowBandSize w:val="1"/>
      <w:tblStyleColBandSize w:val="1"/>
      <w:tblCellMar>
        <w:left w:w="0.0" w:type="dxa"/>
        <w:right w:w="0.0" w:type="dxa"/>
      </w:tblCellMar>
    </w:tblPr>
  </w:style>
  <w:style w:type="table" w:styleId="afffffd" w:customStyle="1">
    <w:basedOn w:val="TableNormal"/>
    <w:tblPr>
      <w:tblStyleRowBandSize w:val="1"/>
      <w:tblStyleColBandSize w:val="1"/>
      <w:tblCellMar>
        <w:left w:w="0.0" w:type="dxa"/>
        <w:right w:w="0.0" w:type="dxa"/>
      </w:tblCellMar>
    </w:tblPr>
  </w:style>
  <w:style w:type="table" w:styleId="afffffe" w:customStyle="1">
    <w:basedOn w:val="TableNormal"/>
    <w:tblPr>
      <w:tblStyleRowBandSize w:val="1"/>
      <w:tblStyleColBandSize w:val="1"/>
      <w:tblCellMar>
        <w:left w:w="0.0" w:type="dxa"/>
        <w:right w:w="0.0" w:type="dxa"/>
      </w:tblCellMar>
    </w:tblPr>
  </w:style>
  <w:style w:type="table" w:styleId="affffff" w:customStyle="1">
    <w:basedOn w:val="TableNormal"/>
    <w:tblPr>
      <w:tblStyleRowBandSize w:val="1"/>
      <w:tblStyleColBandSize w:val="1"/>
      <w:tblCellMar>
        <w:left w:w="0.0" w:type="dxa"/>
        <w:right w:w="0.0" w:type="dxa"/>
      </w:tblCellMar>
    </w:tblPr>
  </w:style>
  <w:style w:type="table" w:styleId="affffff0" w:customStyle="1">
    <w:basedOn w:val="TableNormal"/>
    <w:tblPr>
      <w:tblStyleRowBandSize w:val="1"/>
      <w:tblStyleColBandSize w:val="1"/>
      <w:tblCellMar>
        <w:left w:w="0.0" w:type="dxa"/>
        <w:right w:w="0.0" w:type="dxa"/>
      </w:tblCellMar>
    </w:tblPr>
  </w:style>
  <w:style w:type="table" w:styleId="affffff1" w:customStyle="1">
    <w:basedOn w:val="TableNormal"/>
    <w:tblPr>
      <w:tblStyleRowBandSize w:val="1"/>
      <w:tblStyleColBandSize w:val="1"/>
      <w:tblCellMar>
        <w:left w:w="0.0" w:type="dxa"/>
        <w:right w:w="0.0" w:type="dxa"/>
      </w:tblCellMar>
    </w:tblPr>
  </w:style>
  <w:style w:type="table" w:styleId="affffff2" w:customStyle="1">
    <w:basedOn w:val="TableNormal"/>
    <w:tblPr>
      <w:tblStyleRowBandSize w:val="1"/>
      <w:tblStyleColBandSize w:val="1"/>
      <w:tblCellMar>
        <w:left w:w="0.0" w:type="dxa"/>
        <w:right w:w="0.0" w:type="dxa"/>
      </w:tblCellMar>
    </w:tblPr>
  </w:style>
  <w:style w:type="table" w:styleId="affffff3" w:customStyle="1">
    <w:basedOn w:val="TableNormal"/>
    <w:tblPr>
      <w:tblStyleRowBandSize w:val="1"/>
      <w:tblStyleColBandSize w:val="1"/>
      <w:tblCellMar>
        <w:left w:w="0.0" w:type="dxa"/>
        <w:right w:w="0.0" w:type="dxa"/>
      </w:tblCellMar>
    </w:tblPr>
  </w:style>
  <w:style w:type="table" w:styleId="affffff4" w:customStyle="1">
    <w:basedOn w:val="TableNormal"/>
    <w:tblPr>
      <w:tblStyleRowBandSize w:val="1"/>
      <w:tblStyleColBandSize w:val="1"/>
      <w:tblCellMar>
        <w:left w:w="0.0" w:type="dxa"/>
        <w:right w:w="0.0" w:type="dxa"/>
      </w:tblCellMar>
    </w:tblPr>
  </w:style>
  <w:style w:type="table" w:styleId="affffff5" w:customStyle="1">
    <w:basedOn w:val="TableNormal"/>
    <w:tblPr>
      <w:tblStyleRowBandSize w:val="1"/>
      <w:tblStyleColBandSize w:val="1"/>
      <w:tblCellMar>
        <w:left w:w="0.0" w:type="dxa"/>
        <w:right w:w="0.0" w:type="dxa"/>
      </w:tblCellMar>
    </w:tblPr>
  </w:style>
  <w:style w:type="table" w:styleId="affffff6" w:customStyle="1">
    <w:basedOn w:val="TableNormal"/>
    <w:tblPr>
      <w:tblStyleRowBandSize w:val="1"/>
      <w:tblStyleColBandSize w:val="1"/>
      <w:tblCellMar>
        <w:left w:w="0.0" w:type="dxa"/>
        <w:right w:w="0.0" w:type="dxa"/>
      </w:tblCellMar>
    </w:tblPr>
  </w:style>
  <w:style w:type="table" w:styleId="affffff7" w:customStyle="1">
    <w:basedOn w:val="TableNormal"/>
    <w:tblPr>
      <w:tblStyleRowBandSize w:val="1"/>
      <w:tblStyleColBandSize w:val="1"/>
      <w:tblCellMar>
        <w:left w:w="0.0" w:type="dxa"/>
        <w:right w:w="0.0" w:type="dxa"/>
      </w:tblCellMar>
    </w:tblPr>
  </w:style>
  <w:style w:type="table" w:styleId="affffff8" w:customStyle="1">
    <w:basedOn w:val="TableNormal"/>
    <w:tblPr>
      <w:tblStyleRowBandSize w:val="1"/>
      <w:tblStyleColBandSize w:val="1"/>
      <w:tblCellMar>
        <w:left w:w="0.0" w:type="dxa"/>
        <w:right w:w="0.0" w:type="dxa"/>
      </w:tblCellMar>
    </w:tblPr>
  </w:style>
  <w:style w:type="table" w:styleId="affffff9" w:customStyle="1">
    <w:basedOn w:val="TableNormal"/>
    <w:tblPr>
      <w:tblStyleRowBandSize w:val="1"/>
      <w:tblStyleColBandSize w:val="1"/>
      <w:tblCellMar>
        <w:left w:w="0.0" w:type="dxa"/>
        <w:right w:w="0.0" w:type="dxa"/>
      </w:tblCellMar>
    </w:tblPr>
  </w:style>
  <w:style w:type="table" w:styleId="affffffa" w:customStyle="1">
    <w:basedOn w:val="TableNormal"/>
    <w:tblPr>
      <w:tblStyleRowBandSize w:val="1"/>
      <w:tblStyleColBandSize w:val="1"/>
      <w:tblCellMar>
        <w:left w:w="0.0" w:type="dxa"/>
        <w:right w:w="0.0" w:type="dxa"/>
      </w:tblCellMar>
    </w:tblPr>
  </w:style>
  <w:style w:type="table" w:styleId="affffffb" w:customStyle="1">
    <w:basedOn w:val="TableNormal"/>
    <w:tblPr>
      <w:tblStyleRowBandSize w:val="1"/>
      <w:tblStyleColBandSize w:val="1"/>
      <w:tblCellMar>
        <w:left w:w="0.0" w:type="dxa"/>
        <w:right w:w="0.0" w:type="dxa"/>
      </w:tblCellMar>
    </w:tblPr>
  </w:style>
  <w:style w:type="table" w:styleId="affffffc" w:customStyle="1">
    <w:basedOn w:val="TableNormal"/>
    <w:tblPr>
      <w:tblStyleRowBandSize w:val="1"/>
      <w:tblStyleColBandSize w:val="1"/>
      <w:tblCellMar>
        <w:left w:w="0.0" w:type="dxa"/>
        <w:right w:w="0.0" w:type="dxa"/>
      </w:tblCellMar>
    </w:tblPr>
  </w:style>
  <w:style w:type="table" w:styleId="affffffd" w:customStyle="1">
    <w:basedOn w:val="TableNormal"/>
    <w:tblPr>
      <w:tblStyleRowBandSize w:val="1"/>
      <w:tblStyleColBandSize w:val="1"/>
      <w:tblCellMar>
        <w:left w:w="0.0" w:type="dxa"/>
        <w:right w:w="0.0" w:type="dxa"/>
      </w:tblCellMar>
    </w:tblPr>
  </w:style>
  <w:style w:type="table" w:styleId="affffffe" w:customStyle="1">
    <w:basedOn w:val="TableNormal"/>
    <w:tblPr>
      <w:tblStyleRowBandSize w:val="1"/>
      <w:tblStyleColBandSize w:val="1"/>
      <w:tblCellMar>
        <w:left w:w="0.0" w:type="dxa"/>
        <w:right w:w="0.0" w:type="dxa"/>
      </w:tblCellMar>
    </w:tblPr>
  </w:style>
  <w:style w:type="table" w:styleId="afffffff" w:customStyle="1">
    <w:basedOn w:val="TableNormal"/>
    <w:tblPr>
      <w:tblStyleRowBandSize w:val="1"/>
      <w:tblStyleColBandSize w:val="1"/>
      <w:tblCellMar>
        <w:left w:w="0.0" w:type="dxa"/>
        <w:right w:w="0.0" w:type="dxa"/>
      </w:tblCellMar>
    </w:tblPr>
  </w:style>
  <w:style w:type="table" w:styleId="afffffff0" w:customStyle="1">
    <w:basedOn w:val="TableNormal"/>
    <w:tblPr>
      <w:tblStyleRowBandSize w:val="1"/>
      <w:tblStyleColBandSize w:val="1"/>
      <w:tblCellMar>
        <w:left w:w="0.0" w:type="dxa"/>
        <w:right w:w="0.0" w:type="dxa"/>
      </w:tblCellMar>
    </w:tblPr>
  </w:style>
  <w:style w:type="table" w:styleId="afffffff1" w:customStyle="1">
    <w:basedOn w:val="TableNormal"/>
    <w:tblPr>
      <w:tblStyleRowBandSize w:val="1"/>
      <w:tblStyleColBandSize w:val="1"/>
      <w:tblCellMar>
        <w:left w:w="0.0" w:type="dxa"/>
        <w:right w:w="0.0" w:type="dxa"/>
      </w:tblCellMar>
    </w:tblPr>
  </w:style>
  <w:style w:type="table" w:styleId="afffffff2" w:customStyle="1">
    <w:basedOn w:val="TableNormal"/>
    <w:tblPr>
      <w:tblStyleRowBandSize w:val="1"/>
      <w:tblStyleColBandSize w:val="1"/>
      <w:tblCellMar>
        <w:left w:w="0.0" w:type="dxa"/>
        <w:right w:w="0.0" w:type="dxa"/>
      </w:tblCellMar>
    </w:tblPr>
  </w:style>
  <w:style w:type="table" w:styleId="afffffff3" w:customStyle="1">
    <w:basedOn w:val="TableNormal"/>
    <w:tblPr>
      <w:tblStyleRowBandSize w:val="1"/>
      <w:tblStyleColBandSize w:val="1"/>
      <w:tblCellMar>
        <w:left w:w="0.0" w:type="dxa"/>
        <w:right w:w="0.0" w:type="dxa"/>
      </w:tblCellMar>
    </w:tblPr>
  </w:style>
  <w:style w:type="table" w:styleId="afffffff4" w:customStyle="1">
    <w:basedOn w:val="TableNormal"/>
    <w:tblPr>
      <w:tblStyleRowBandSize w:val="1"/>
      <w:tblStyleColBandSize w:val="1"/>
      <w:tblCellMar>
        <w:left w:w="0.0" w:type="dxa"/>
        <w:right w:w="0.0" w:type="dxa"/>
      </w:tblCellMar>
    </w:tblPr>
  </w:style>
  <w:style w:type="table" w:styleId="afffffff5" w:customStyle="1">
    <w:basedOn w:val="TableNormal"/>
    <w:tblPr>
      <w:tblStyleRowBandSize w:val="1"/>
      <w:tblStyleColBandSize w:val="1"/>
      <w:tblCellMar>
        <w:left w:w="0.0" w:type="dxa"/>
        <w:right w:w="0.0" w:type="dxa"/>
      </w:tblCellMar>
    </w:tblPr>
  </w:style>
  <w:style w:type="table" w:styleId="afffffff6" w:customStyle="1">
    <w:basedOn w:val="TableNormal"/>
    <w:tblPr>
      <w:tblStyleRowBandSize w:val="1"/>
      <w:tblStyleColBandSize w:val="1"/>
      <w:tblCellMar>
        <w:left w:w="0.0" w:type="dxa"/>
        <w:right w:w="0.0" w:type="dxa"/>
      </w:tblCellMar>
    </w:tblPr>
  </w:style>
  <w:style w:type="table" w:styleId="afffffff7" w:customStyle="1">
    <w:basedOn w:val="TableNormal"/>
    <w:tblPr>
      <w:tblStyleRowBandSize w:val="1"/>
      <w:tblStyleColBandSize w:val="1"/>
      <w:tblCellMar>
        <w:left w:w="0.0" w:type="dxa"/>
        <w:right w:w="0.0" w:type="dxa"/>
      </w:tblCellMar>
    </w:tblPr>
  </w:style>
  <w:style w:type="table" w:styleId="afffffff8" w:customStyle="1">
    <w:basedOn w:val="TableNormal"/>
    <w:tblPr>
      <w:tblStyleRowBandSize w:val="1"/>
      <w:tblStyleColBandSize w:val="1"/>
      <w:tblCellMar>
        <w:left w:w="0.0" w:type="dxa"/>
        <w:right w:w="0.0" w:type="dxa"/>
      </w:tblCellMar>
    </w:tblPr>
  </w:style>
  <w:style w:type="table" w:styleId="afffffff9" w:customStyle="1">
    <w:basedOn w:val="TableNormal"/>
    <w:tblPr>
      <w:tblStyleRowBandSize w:val="1"/>
      <w:tblStyleColBandSize w:val="1"/>
      <w:tblCellMar>
        <w:left w:w="0.0" w:type="dxa"/>
        <w:right w:w="0.0" w:type="dxa"/>
      </w:tblCellMar>
    </w:tblPr>
  </w:style>
  <w:style w:type="table" w:styleId="afffffffa" w:customStyle="1">
    <w:basedOn w:val="TableNormal"/>
    <w:tblPr>
      <w:tblStyleRowBandSize w:val="1"/>
      <w:tblStyleColBandSize w:val="1"/>
      <w:tblCellMar>
        <w:left w:w="0.0" w:type="dxa"/>
        <w:right w:w="0.0" w:type="dxa"/>
      </w:tblCellMar>
    </w:tblPr>
  </w:style>
  <w:style w:type="table" w:styleId="afffffffb" w:customStyle="1">
    <w:basedOn w:val="TableNormal"/>
    <w:tblPr>
      <w:tblStyleRowBandSize w:val="1"/>
      <w:tblStyleColBandSize w:val="1"/>
      <w:tblCellMar>
        <w:left w:w="0.0" w:type="dxa"/>
        <w:right w:w="0.0" w:type="dxa"/>
      </w:tblCellMar>
    </w:tblPr>
  </w:style>
  <w:style w:type="table" w:styleId="afffffffc" w:customStyle="1">
    <w:basedOn w:val="TableNormal"/>
    <w:tblPr>
      <w:tblStyleRowBandSize w:val="1"/>
      <w:tblStyleColBandSize w:val="1"/>
      <w:tblCellMar>
        <w:left w:w="0.0" w:type="dxa"/>
        <w:right w:w="0.0" w:type="dxa"/>
      </w:tblCellMar>
    </w:tblPr>
  </w:style>
  <w:style w:type="table" w:styleId="afffffffd" w:customStyle="1">
    <w:basedOn w:val="TableNormal"/>
    <w:tblPr>
      <w:tblStyleRowBandSize w:val="1"/>
      <w:tblStyleColBandSize w:val="1"/>
      <w:tblCellMar>
        <w:left w:w="0.0" w:type="dxa"/>
        <w:right w:w="0.0" w:type="dxa"/>
      </w:tblCellMar>
    </w:tblPr>
  </w:style>
  <w:style w:type="table" w:styleId="afffffffe" w:customStyle="1">
    <w:basedOn w:val="TableNormal"/>
    <w:tblPr>
      <w:tblStyleRowBandSize w:val="1"/>
      <w:tblStyleColBandSize w:val="1"/>
      <w:tblCellMar>
        <w:left w:w="0.0" w:type="dxa"/>
        <w:right w:w="0.0" w:type="dxa"/>
      </w:tblCellMar>
    </w:tblPr>
  </w:style>
  <w:style w:type="table" w:styleId="affffffff" w:customStyle="1">
    <w:basedOn w:val="TableNormal"/>
    <w:tblPr>
      <w:tblStyleRowBandSize w:val="1"/>
      <w:tblStyleColBandSize w:val="1"/>
      <w:tblCellMar>
        <w:left w:w="0.0" w:type="dxa"/>
        <w:right w:w="0.0" w:type="dxa"/>
      </w:tblCellMar>
    </w:tblPr>
  </w:style>
  <w:style w:type="table" w:styleId="affffffff0" w:customStyle="1">
    <w:basedOn w:val="TableNormal"/>
    <w:tblPr>
      <w:tblStyleRowBandSize w:val="1"/>
      <w:tblStyleColBandSize w:val="1"/>
      <w:tblCellMar>
        <w:left w:w="0.0" w:type="dxa"/>
        <w:right w:w="0.0" w:type="dxa"/>
      </w:tblCellMar>
    </w:tblPr>
  </w:style>
  <w:style w:type="table" w:styleId="affffffff1" w:customStyle="1">
    <w:basedOn w:val="TableNormal"/>
    <w:tblPr>
      <w:tblStyleRowBandSize w:val="1"/>
      <w:tblStyleColBandSize w:val="1"/>
      <w:tblCellMar>
        <w:left w:w="0.0" w:type="dxa"/>
        <w:right w:w="0.0" w:type="dxa"/>
      </w:tblCellMar>
    </w:tblPr>
  </w:style>
  <w:style w:type="table" w:styleId="affffffff2" w:customStyle="1">
    <w:basedOn w:val="TableNormal"/>
    <w:tblPr>
      <w:tblStyleRowBandSize w:val="1"/>
      <w:tblStyleColBandSize w:val="1"/>
      <w:tblCellMar>
        <w:left w:w="0.0" w:type="dxa"/>
        <w:right w:w="0.0" w:type="dxa"/>
      </w:tblCellMar>
    </w:tblPr>
  </w:style>
  <w:style w:type="table" w:styleId="affffffff3" w:customStyle="1">
    <w:basedOn w:val="TableNormal"/>
    <w:tblPr>
      <w:tblStyleRowBandSize w:val="1"/>
      <w:tblStyleColBandSize w:val="1"/>
      <w:tblCellMar>
        <w:left w:w="0.0" w:type="dxa"/>
        <w:right w:w="0.0" w:type="dxa"/>
      </w:tblCellMar>
    </w:tblPr>
  </w:style>
  <w:style w:type="table" w:styleId="affffffff4" w:customStyle="1">
    <w:basedOn w:val="TableNormal"/>
    <w:tblPr>
      <w:tblStyleRowBandSize w:val="1"/>
      <w:tblStyleColBandSize w:val="1"/>
      <w:tblCellMar>
        <w:left w:w="0.0" w:type="dxa"/>
        <w:right w:w="0.0" w:type="dxa"/>
      </w:tblCellMar>
    </w:tblPr>
  </w:style>
  <w:style w:type="table" w:styleId="affffffff5" w:customStyle="1">
    <w:basedOn w:val="TableNormal"/>
    <w:tblPr>
      <w:tblStyleRowBandSize w:val="1"/>
      <w:tblStyleColBandSize w:val="1"/>
      <w:tblCellMar>
        <w:left w:w="0.0" w:type="dxa"/>
        <w:right w:w="0.0" w:type="dxa"/>
      </w:tblCellMar>
    </w:tblPr>
  </w:style>
  <w:style w:type="table" w:styleId="affffffff6" w:customStyle="1">
    <w:basedOn w:val="TableNormal"/>
    <w:tblPr>
      <w:tblStyleRowBandSize w:val="1"/>
      <w:tblStyleColBandSize w:val="1"/>
      <w:tblCellMar>
        <w:left w:w="0.0" w:type="dxa"/>
        <w:right w:w="0.0" w:type="dxa"/>
      </w:tblCellMar>
    </w:tblPr>
  </w:style>
  <w:style w:type="table" w:styleId="affffffff7" w:customStyle="1">
    <w:basedOn w:val="TableNormal"/>
    <w:tblPr>
      <w:tblStyleRowBandSize w:val="1"/>
      <w:tblStyleColBandSize w:val="1"/>
      <w:tblCellMar>
        <w:left w:w="0.0" w:type="dxa"/>
        <w:right w:w="0.0" w:type="dxa"/>
      </w:tblCellMar>
    </w:tblPr>
  </w:style>
  <w:style w:type="table" w:styleId="affffffff8" w:customStyle="1">
    <w:basedOn w:val="TableNormal"/>
    <w:tblPr>
      <w:tblStyleRowBandSize w:val="1"/>
      <w:tblStyleColBandSize w:val="1"/>
      <w:tblCellMar>
        <w:left w:w="0.0" w:type="dxa"/>
        <w:right w:w="0.0" w:type="dxa"/>
      </w:tblCellMar>
    </w:tblPr>
  </w:style>
  <w:style w:type="table" w:styleId="affffffff9" w:customStyle="1">
    <w:basedOn w:val="TableNormal"/>
    <w:tblPr>
      <w:tblStyleRowBandSize w:val="1"/>
      <w:tblStyleColBandSize w:val="1"/>
      <w:tblCellMar>
        <w:left w:w="0.0" w:type="dxa"/>
        <w:right w:w="0.0" w:type="dxa"/>
      </w:tblCellMar>
    </w:tblPr>
  </w:style>
  <w:style w:type="table" w:styleId="affffffffa" w:customStyle="1">
    <w:basedOn w:val="TableNormal"/>
    <w:tblPr>
      <w:tblStyleRowBandSize w:val="1"/>
      <w:tblStyleColBandSize w:val="1"/>
      <w:tblCellMar>
        <w:left w:w="0.0" w:type="dxa"/>
        <w:right w:w="0.0" w:type="dxa"/>
      </w:tblCellMar>
    </w:tblPr>
  </w:style>
  <w:style w:type="table" w:styleId="affffffffb" w:customStyle="1">
    <w:basedOn w:val="TableNormal"/>
    <w:tblPr>
      <w:tblStyleRowBandSize w:val="1"/>
      <w:tblStyleColBandSize w:val="1"/>
      <w:tblCellMar>
        <w:left w:w="0.0" w:type="dxa"/>
        <w:right w:w="0.0" w:type="dxa"/>
      </w:tblCellMar>
    </w:tblPr>
  </w:style>
  <w:style w:type="table" w:styleId="affffffffc" w:customStyle="1">
    <w:basedOn w:val="TableNormal"/>
    <w:tblPr>
      <w:tblStyleRowBandSize w:val="1"/>
      <w:tblStyleColBandSize w:val="1"/>
      <w:tblCellMar>
        <w:left w:w="0.0" w:type="dxa"/>
        <w:right w:w="0.0" w:type="dxa"/>
      </w:tblCellMar>
    </w:tblPr>
  </w:style>
  <w:style w:type="table" w:styleId="affffffffd" w:customStyle="1">
    <w:basedOn w:val="TableNormal"/>
    <w:tblPr>
      <w:tblStyleRowBandSize w:val="1"/>
      <w:tblStyleColBandSize w:val="1"/>
      <w:tblCellMar>
        <w:left w:w="0.0" w:type="dxa"/>
        <w:right w:w="0.0" w:type="dxa"/>
      </w:tblCellMar>
    </w:tblPr>
  </w:style>
  <w:style w:type="table" w:styleId="affffffffe" w:customStyle="1">
    <w:basedOn w:val="TableNormal"/>
    <w:tblPr>
      <w:tblStyleRowBandSize w:val="1"/>
      <w:tblStyleColBandSize w:val="1"/>
      <w:tblCellMar>
        <w:left w:w="0.0" w:type="dxa"/>
        <w:right w:w="0.0" w:type="dxa"/>
      </w:tblCellMar>
    </w:tblPr>
  </w:style>
  <w:style w:type="table" w:styleId="afffffffff" w:customStyle="1">
    <w:basedOn w:val="TableNormal"/>
    <w:tblPr>
      <w:tblStyleRowBandSize w:val="1"/>
      <w:tblStyleColBandSize w:val="1"/>
      <w:tblCellMar>
        <w:left w:w="0.0" w:type="dxa"/>
        <w:right w:w="0.0" w:type="dxa"/>
      </w:tblCellMar>
    </w:tblPr>
  </w:style>
  <w:style w:type="table" w:styleId="afffffffff0" w:customStyle="1">
    <w:basedOn w:val="TableNormal"/>
    <w:tblPr>
      <w:tblStyleRowBandSize w:val="1"/>
      <w:tblStyleColBandSize w:val="1"/>
      <w:tblCellMar>
        <w:left w:w="0.0" w:type="dxa"/>
        <w:right w:w="0.0" w:type="dxa"/>
      </w:tblCellMar>
    </w:tblPr>
  </w:style>
  <w:style w:type="table" w:styleId="afffffffff1" w:customStyle="1">
    <w:basedOn w:val="TableNormal"/>
    <w:tblPr>
      <w:tblStyleRowBandSize w:val="1"/>
      <w:tblStyleColBandSize w:val="1"/>
      <w:tblCellMar>
        <w:left w:w="0.0" w:type="dxa"/>
        <w:right w:w="0.0" w:type="dxa"/>
      </w:tblCellMar>
    </w:tblPr>
  </w:style>
  <w:style w:type="table" w:styleId="afffffffff2" w:customStyle="1">
    <w:basedOn w:val="TableNormal"/>
    <w:tblPr>
      <w:tblStyleRowBandSize w:val="1"/>
      <w:tblStyleColBandSize w:val="1"/>
      <w:tblCellMar>
        <w:left w:w="0.0" w:type="dxa"/>
        <w:right w:w="0.0" w:type="dxa"/>
      </w:tblCellMar>
    </w:tblPr>
  </w:style>
  <w:style w:type="table" w:styleId="afffffffff3" w:customStyle="1">
    <w:basedOn w:val="TableNormal"/>
    <w:tblPr>
      <w:tblStyleRowBandSize w:val="1"/>
      <w:tblStyleColBandSize w:val="1"/>
      <w:tblCellMar>
        <w:left w:w="0.0" w:type="dxa"/>
        <w:right w:w="0.0" w:type="dxa"/>
      </w:tblCellMar>
    </w:tblPr>
  </w:style>
  <w:style w:type="paragraph" w:styleId="NormalWeb">
    <w:name w:val="Normal (Web)"/>
    <w:basedOn w:val="Normal"/>
    <w:uiPriority w:val="99"/>
    <w:unhideWhenUsed w:val="1"/>
    <w:rsid w:val="00CF7CB5"/>
    <w:pPr>
      <w:widowControl w:val="1"/>
      <w:spacing w:after="100" w:afterAutospacing="1" w:before="100" w:beforeAutospacing="1"/>
    </w:pPr>
    <w:rPr>
      <w:rFonts w:ascii="Times New Roman" w:cs="Times New Roman" w:eastAsia="Times New Roman" w:hAnsi="Times New Roman"/>
      <w:sz w:val="24"/>
      <w:szCs w:val="24"/>
      <w:lang w:val="en-CA"/>
    </w:rPr>
  </w:style>
  <w:style w:type="character" w:styleId="apple-tab-span" w:customStyle="1">
    <w:name w:val="apple-tab-span"/>
    <w:basedOn w:val="DefaultParagraphFont"/>
    <w:rsid w:val="00CF7CB5"/>
  </w:style>
  <w:style w:type="character" w:styleId="Heading3Char" w:customStyle="1">
    <w:name w:val="Heading 3 Char"/>
    <w:basedOn w:val="DefaultParagraphFont"/>
    <w:link w:val="Heading3"/>
    <w:uiPriority w:val="9"/>
    <w:rsid w:val="009974E3"/>
    <w:rPr>
      <w:sz w:val="28"/>
      <w:szCs w:val="28"/>
    </w:rPr>
  </w:style>
  <w:style w:type="character" w:styleId="Heading4Char" w:customStyle="1">
    <w:name w:val="Heading 4 Char"/>
    <w:basedOn w:val="DefaultParagraphFont"/>
    <w:link w:val="Heading4"/>
    <w:uiPriority w:val="9"/>
    <w:rsid w:val="009974E3"/>
    <w:rPr>
      <w:u w:val="single"/>
    </w:rPr>
  </w:style>
  <w:style w:type="character" w:styleId="Heading1Char" w:customStyle="1">
    <w:name w:val="Heading 1 Char"/>
    <w:basedOn w:val="DefaultParagraphFont"/>
    <w:link w:val="Heading1"/>
    <w:uiPriority w:val="9"/>
    <w:rsid w:val="001C02BD"/>
    <w:rPr>
      <w:rFonts w:asciiTheme="minorHAnsi" w:cstheme="minorHAnsi" w:hAnsiTheme="minorHAnsi"/>
      <w:sz w:val="40"/>
      <w:szCs w:val="40"/>
    </w:rPr>
  </w:style>
  <w:style w:type="character" w:styleId="Heading2Char" w:customStyle="1">
    <w:name w:val="Heading 2 Char"/>
    <w:basedOn w:val="DefaultParagraphFont"/>
    <w:link w:val="Heading2"/>
    <w:uiPriority w:val="9"/>
    <w:rsid w:val="00545761"/>
    <w:rPr>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wgpHHjLfax7y2DU+pQZlsVEPyw==">CgMxLjA4AHIhMU9XRTFoMGtzWjFWeVhwYjI2a2tFTld1Qm55SXJTNkZu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2022-05-26T11:11:00Z</dcterms:created>
  <dc:creator>Kelly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2022-02-23T00:00:00Z</vt:filetime>
  </property>
  <property fmtid="{D5CDD505-2E9C-101B-9397-08002B2CF9AE}" pid="3" name="LastSaved">
    <vt:filetime>2022-02-23T00:00:00Z</vt:filetime>
  </property>
</Properties>
</file>